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56" w:rsidRDefault="00E07956"/>
    <w:p w:rsidR="008762B8" w:rsidRDefault="008762B8" w:rsidP="008762B8">
      <w:pPr>
        <w:rPr>
          <w:b/>
          <w:bCs/>
          <w:lang w:eastAsia="en-US"/>
        </w:rPr>
      </w:pPr>
      <w:proofErr w:type="spellStart"/>
      <w:r>
        <w:rPr>
          <w:b/>
          <w:bCs/>
          <w:lang w:eastAsia="en-US"/>
        </w:rPr>
        <w:t>Cyproteron</w:t>
      </w:r>
      <w:proofErr w:type="spellEnd"/>
      <w:r>
        <w:rPr>
          <w:b/>
          <w:bCs/>
          <w:lang w:eastAsia="en-US"/>
        </w:rPr>
        <w:t xml:space="preserve"> acetát – omezení používání kvůli riziku meningiomu</w:t>
      </w:r>
    </w:p>
    <w:p w:rsidR="008762B8" w:rsidRDefault="008762B8" w:rsidP="008762B8">
      <w:pPr>
        <w:rPr>
          <w:lang w:eastAsia="en-US"/>
        </w:rPr>
      </w:pPr>
    </w:p>
    <w:p w:rsidR="008762B8" w:rsidRDefault="008762B8" w:rsidP="008762B8">
      <w:r>
        <w:t xml:space="preserve">Dle sdělení firmy Bayer bylo při terapii vyššími dávkami </w:t>
      </w:r>
      <w:proofErr w:type="spellStart"/>
      <w:r>
        <w:t>cyproteron</w:t>
      </w:r>
      <w:proofErr w:type="spellEnd"/>
      <w:r>
        <w:t xml:space="preserve"> acetátu (přípravek </w:t>
      </w:r>
      <w:proofErr w:type="spellStart"/>
      <w:r>
        <w:t>Androcur</w:t>
      </w:r>
      <w:proofErr w:type="spellEnd"/>
      <w:r>
        <w:t xml:space="preserve">) prokázáno zvýšené riziko meningiomu. Při kumulativní dávce nad 3 g bylo riziko </w:t>
      </w:r>
      <w:proofErr w:type="spellStart"/>
      <w:r>
        <w:t>meningeomu</w:t>
      </w:r>
      <w:proofErr w:type="spellEnd"/>
      <w:r>
        <w:t xml:space="preserve"> (hazard ratio) zvýšeno 6,6krát. </w:t>
      </w:r>
    </w:p>
    <w:p w:rsidR="008762B8" w:rsidRDefault="008762B8" w:rsidP="008762B8"/>
    <w:p w:rsidR="008762B8" w:rsidRDefault="008762B8" w:rsidP="008762B8">
      <w:r>
        <w:t xml:space="preserve">Kumulativní dávka 3 g, od níž se riziko meningiomu významně zvyšuje, je při terapii kombinovanými preparáty s 2  mg </w:t>
      </w:r>
      <w:proofErr w:type="spellStart"/>
      <w:r>
        <w:t>cyproteron</w:t>
      </w:r>
      <w:proofErr w:type="spellEnd"/>
      <w:r>
        <w:t xml:space="preserve"> acetátu a </w:t>
      </w:r>
      <w:proofErr w:type="spellStart"/>
      <w:r>
        <w:t>ethynilestradiolem</w:t>
      </w:r>
      <w:proofErr w:type="spellEnd"/>
      <w:r>
        <w:t xml:space="preserve">/estradiol </w:t>
      </w:r>
      <w:proofErr w:type="spellStart"/>
      <w:r>
        <w:t>valerátem</w:t>
      </w:r>
      <w:proofErr w:type="spellEnd"/>
      <w:r>
        <w:t xml:space="preserve"> (např. Diane 35) dosažena za 6 let. Proto terapii těmito přípravky z indikace </w:t>
      </w:r>
      <w:proofErr w:type="spellStart"/>
      <w:r>
        <w:t>hyperandrogenních</w:t>
      </w:r>
      <w:proofErr w:type="spellEnd"/>
      <w:r>
        <w:t xml:space="preserve"> stavů trvající déle než 6 let ČES ČLS JEP nedoporučuje. </w:t>
      </w:r>
    </w:p>
    <w:p w:rsidR="008762B8" w:rsidRDefault="008762B8" w:rsidP="008762B8"/>
    <w:p w:rsidR="008762B8" w:rsidRDefault="008762B8" w:rsidP="008762B8">
      <w:r>
        <w:t>Sdělení firmy Bayer:</w:t>
      </w:r>
    </w:p>
    <w:p w:rsidR="008762B8" w:rsidRDefault="008762B8" w:rsidP="008762B8"/>
    <w:tbl>
      <w:tblPr>
        <w:tblW w:w="901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B8" w:rsidRDefault="008762B8">
            <w:pPr>
              <w:spacing w:before="100" w:beforeAutospacing="1" w:after="100" w:afterAutospacing="1"/>
            </w:pPr>
            <w:r>
              <w:t> </w:t>
            </w:r>
            <w:r>
              <w:rPr>
                <w:rFonts w:ascii="Helvetica" w:hAnsi="Helvetica" w:cs="Helvetica"/>
                <w:b/>
                <w:bCs/>
                <w:color w:val="FF0000"/>
                <w:sz w:val="36"/>
                <w:szCs w:val="36"/>
              </w:rPr>
              <w:t xml:space="preserve">CAVE! </w:t>
            </w:r>
            <w:r>
              <w:rPr>
                <w:rFonts w:ascii="Helvetica" w:hAnsi="Helvetica" w:cs="Helvetica"/>
              </w:rPr>
              <w:br/>
              <w:t> 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b/>
                <w:bCs/>
                <w:color w:val="0070C2"/>
                <w:sz w:val="24"/>
                <w:szCs w:val="24"/>
              </w:rPr>
              <w:t>Informační dopis pro zdravotnické pracovníky</w:t>
            </w:r>
            <w:r>
              <w:rPr>
                <w:rFonts w:ascii="Helvetica" w:hAnsi="Helvetica" w:cs="Helvetica"/>
              </w:rPr>
              <w:br/>
              <w:t> 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20. duben 2020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   </w:t>
            </w:r>
          </w:p>
          <w:p w:rsidR="008762B8" w:rsidRDefault="008762B8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Cyproteron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acetát – omezení používání kvůli riziku meningiomu</w:t>
            </w:r>
          </w:p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</w:rPr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b/>
                <w:bCs/>
              </w:rPr>
              <w:t>Vážená paní doktorko, vážený pane doktore,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společnost Bayer AG po dohodě s Evropskou agenturou pro léčivé přípravky (EMA) a Státním ústavem pro kontrolu léčiv (SÚKL) si Vás dovoluje informovat o následujících skutečnostech:</w:t>
            </w:r>
            <w:r>
              <w:rPr>
                <w:rFonts w:ascii="Helvetica" w:hAnsi="Helvetica" w:cs="Helvetica"/>
              </w:rPr>
              <w:br/>
              <w:t>   </w:t>
            </w: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Shrnutí</w:t>
            </w:r>
            <w:r>
              <w:rPr>
                <w:rFonts w:ascii="Helvetica" w:hAnsi="Helvetica" w:cs="Helvetica"/>
              </w:rPr>
              <w:br/>
              <w:t xml:space="preserve">  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8606"/>
            </w:tblGrid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V souvislosti s používáním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acetátu, zejména v dávkách 25 mg/den a vyšších, byl hlášen výskyt meningiomů (jednočetných a vícečetných).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 xml:space="preserve">  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Riziko vzniku meningiomu narůstá se zvyšujícími se kumulativními dávkami.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 xml:space="preserve">  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Použití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acetátu je kontraindikováno u pacientů s meningiomem nebo s meningiomem v anamnéze.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>   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Pacienti s meningiomem mají být sledováni v souladu s klinickou praxí.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 xml:space="preserve">  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Jestliže je u pacienta léčeného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acetátem diagnostikován meningiom, léčba musí být trvale ukončena.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 xml:space="preserve">  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Pro léčbu těžkých známek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androgenizace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u žen (např. závažný hirsutismus, těžká androgenní alopecie, často spojená s těžkou formou akné a/nebo seborey) je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 50 mg indikován pouze pokud nebylo dosaženo uspokojivých 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lastRenderedPageBreak/>
                    <w:t xml:space="preserve">výsledků s léčivými přípravky s nižší dávkou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acetátu nebo s jinými možnostmi léčby.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>   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lastRenderedPageBreak/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Pro potlačení sexuálního pudu u sexuálních deviací u mužů se může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 50 mg/100 mg/300 mg/3 ml použít pouze pokud se jiné intervence považují za nevhodné. 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>   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•</w:t>
                  </w:r>
                </w:p>
              </w:tc>
              <w:tc>
                <w:tcPr>
                  <w:tcW w:w="852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V indikaci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antiandrogenní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léčba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inoperbilního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karcinomu prostaty se používání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</w:rPr>
                    <w:t>cyproteron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</w:rPr>
                    <w:t xml:space="preserve"> acetátu nemění.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br/>
                    <w:t>   </w:t>
                  </w:r>
                </w:p>
              </w:tc>
            </w:tr>
          </w:tbl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</w:rPr>
              <w:t>   </w:t>
            </w:r>
            <w:r>
              <w:rPr>
                <w:rFonts w:ascii="Helvetica" w:hAnsi="Helvetica" w:cs="Helvetica"/>
              </w:rPr>
              <w:br/>
              <w:t xml:space="preserve">    </w:t>
            </w: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</w:rPr>
              <w:lastRenderedPageBreak/>
              <w:t>Informace o bezpečnostním riziku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Terapeutické indikace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acetátu (CPA) v </w:t>
            </w:r>
            <w:proofErr w:type="spellStart"/>
            <w:r>
              <w:rPr>
                <w:rFonts w:ascii="Helvetica" w:hAnsi="Helvetica" w:cs="Helvetica"/>
              </w:rPr>
              <w:t>monoterapii</w:t>
            </w:r>
            <w:proofErr w:type="spellEnd"/>
            <w:r>
              <w:rPr>
                <w:rFonts w:ascii="Helvetica" w:hAnsi="Helvetica" w:cs="Helvetica"/>
              </w:rPr>
              <w:t xml:space="preserve"> v dávce 50 mg u žen zahrnují středně závažné až závažné známky </w:t>
            </w:r>
            <w:proofErr w:type="spellStart"/>
            <w:r>
              <w:rPr>
                <w:rFonts w:ascii="Helvetica" w:hAnsi="Helvetica" w:cs="Helvetica"/>
              </w:rPr>
              <w:t>androgenizace</w:t>
            </w:r>
            <w:proofErr w:type="spellEnd"/>
            <w:r>
              <w:rPr>
                <w:rFonts w:ascii="Helvetica" w:hAnsi="Helvetica" w:cs="Helvetica"/>
              </w:rPr>
              <w:t>, např. hirsutismus, androgenetickou alopecii, akné a seboreu.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Terapeutické indikace u mužů (50 mg, 100 mg a 300 mg/3 ml) zahrnují </w:t>
            </w:r>
            <w:proofErr w:type="spellStart"/>
            <w:r>
              <w:rPr>
                <w:rFonts w:ascii="Helvetica" w:hAnsi="Helvetica" w:cs="Helvetica"/>
              </w:rPr>
              <w:t>antiandrogenní</w:t>
            </w:r>
            <w:proofErr w:type="spellEnd"/>
            <w:r>
              <w:rPr>
                <w:rFonts w:ascii="Helvetica" w:hAnsi="Helvetica" w:cs="Helvetica"/>
              </w:rPr>
              <w:t xml:space="preserve"> léčbu u inoperabilního karcinomu prostaty a potlačení sexuálního pudu u </w:t>
            </w:r>
            <w:proofErr w:type="spellStart"/>
            <w:r>
              <w:rPr>
                <w:rFonts w:ascii="Helvetica" w:hAnsi="Helvetica" w:cs="Helvetica"/>
              </w:rPr>
              <w:t>hypersexuality</w:t>
            </w:r>
            <w:proofErr w:type="spellEnd"/>
            <w:r>
              <w:rPr>
                <w:rFonts w:ascii="Helvetica" w:hAnsi="Helvetica" w:cs="Helvetica"/>
              </w:rPr>
              <w:t xml:space="preserve"> a sexuálních aberací.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Meningiom je vzácný nádor, který vzniká na membránách pokrývajících mozek a míchu. Klinické známky a symptomy meningiomu mohou být nespecifické a mohou zahrnovat změny vidění, ztrátu sluchu či zvonění v uších, ztrátu čichu, bolesti hlavy, které se postupně zhoršují, ztrátu paměti, záchvaty nebo slabost horních či dolních končetin.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Souvislost vysoké dávky (50 mg/den) CPA se vznikem meningiomu byla poprvé popsána v roce 2008 a </w:t>
            </w:r>
            <w:proofErr w:type="spellStart"/>
            <w:r>
              <w:rPr>
                <w:rFonts w:ascii="Helvetica" w:hAnsi="Helvetica" w:cs="Helvetica"/>
              </w:rPr>
              <w:t>SmPC</w:t>
            </w:r>
            <w:proofErr w:type="spellEnd"/>
            <w:r>
              <w:rPr>
                <w:rFonts w:ascii="Helvetica" w:hAnsi="Helvetica" w:cs="Helvetica"/>
              </w:rPr>
              <w:t xml:space="preserve"> přípravků obsahujících CPA o síle 10 mg a více bylo aktualizováno doplněním kontraindikace meningiomu (meningiomu v anamnéze) a upozorněním na riziko vzniku meningiomu.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Nedávno byla na základě výsledků francouzské epidemiologické </w:t>
            </w:r>
            <w:proofErr w:type="spellStart"/>
            <w:r>
              <w:rPr>
                <w:rFonts w:ascii="Helvetica" w:hAnsi="Helvetica" w:cs="Helvetica"/>
              </w:rPr>
              <w:t>kohortové</w:t>
            </w:r>
            <w:proofErr w:type="spellEnd"/>
            <w:r>
              <w:rPr>
                <w:rFonts w:ascii="Helvetica" w:hAnsi="Helvetica" w:cs="Helvetica"/>
              </w:rPr>
              <w:t xml:space="preserve"> studie zjištěna souvislost mezi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acetátem a rizikem vzniku meningiomu, které je závislé na kumulativní </w:t>
            </w:r>
            <w:proofErr w:type="gramStart"/>
            <w:r>
              <w:rPr>
                <w:rFonts w:ascii="Helvetica" w:hAnsi="Helvetica" w:cs="Helvetica"/>
              </w:rPr>
              <w:t>dávce.</w:t>
            </w:r>
            <w:r>
              <w:rPr>
                <w:rFonts w:ascii="Helvetica" w:hAnsi="Helvetica" w:cs="Helvetica"/>
                <w:sz w:val="15"/>
                <w:szCs w:val="15"/>
                <w:vertAlign w:val="superscript"/>
              </w:rPr>
              <w:t>1</w:t>
            </w:r>
            <w:r>
              <w:rPr>
                <w:rFonts w:ascii="Helvetica" w:hAnsi="Helvetica" w:cs="Helvetica"/>
              </w:rPr>
              <w:br/>
              <w:t>Zmíněná</w:t>
            </w:r>
            <w:proofErr w:type="gramEnd"/>
            <w:r>
              <w:rPr>
                <w:rFonts w:ascii="Helvetica" w:hAnsi="Helvetica" w:cs="Helvetica"/>
              </w:rPr>
              <w:t xml:space="preserve"> studie vycházela z údajů francouzského Národního fondu zdravotního pojištění (CNAM) a zahrnovala populaci 253 777 žen užívajících 50 – 100 mg tablety </w:t>
            </w:r>
            <w:proofErr w:type="spellStart"/>
            <w:r>
              <w:rPr>
                <w:rFonts w:ascii="Helvetica" w:hAnsi="Helvetica" w:cs="Helvetica"/>
              </w:rPr>
              <w:t>cyproteronu</w:t>
            </w:r>
            <w:proofErr w:type="spellEnd"/>
            <w:r>
              <w:rPr>
                <w:rFonts w:ascii="Helvetica" w:hAnsi="Helvetica" w:cs="Helvetica"/>
              </w:rPr>
              <w:t xml:space="preserve">. Srovnávána byla incidence meningiomu léčeného chirurgicky nebo radioterapií u žen vystavených vysokým dávkám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acetátu (kumulativní dávka ≥ 3 g) a u žen, jež byly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acetátu vystaveny jen nepatrně (kumulativní dávka &lt; 3 g). Byl prokázán vztah kumulativní dávky a odpovědi.</w:t>
            </w:r>
            <w:r>
              <w:rPr>
                <w:rFonts w:ascii="Helvetica" w:hAnsi="Helvetica" w:cs="Helvetica"/>
              </w:rPr>
              <w:br/>
              <w:t xml:space="preserve">    </w:t>
            </w: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1"/>
              <w:gridCol w:w="2788"/>
              <w:gridCol w:w="1881"/>
            </w:tblGrid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 xml:space="preserve">Kumulativní dávka </w:t>
                  </w:r>
                  <w:proofErr w:type="spellStart"/>
                  <w:r>
                    <w:t>cyproteron</w:t>
                  </w:r>
                  <w:proofErr w:type="spellEnd"/>
                  <w:r>
                    <w:t>-acetátu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Incidence (pacient-roky)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proofErr w:type="spellStart"/>
                  <w:r>
                    <w:t>HR</w:t>
                  </w:r>
                  <w:r>
                    <w:rPr>
                      <w:sz w:val="15"/>
                      <w:szCs w:val="15"/>
                      <w:vertAlign w:val="subscript"/>
                    </w:rPr>
                    <w:t>adj</w:t>
                  </w:r>
                  <w:proofErr w:type="spellEnd"/>
                  <w:r>
                    <w:t xml:space="preserve"> (95% CI) </w:t>
                  </w:r>
                  <w:r>
                    <w:rPr>
                      <w:sz w:val="15"/>
                      <w:szCs w:val="15"/>
                      <w:vertAlign w:val="superscript"/>
                    </w:rPr>
                    <w:t>a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Mírná expozice (&lt;3 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4,5/100 000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proofErr w:type="spellStart"/>
                  <w:r>
                    <w:t>Ref</w:t>
                  </w:r>
                  <w:proofErr w:type="spellEnd"/>
                  <w:r>
                    <w:t>.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Expozice ≥3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23,8/100 000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6,6 [4,0-11,1]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12 až 36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26/100 000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6,4 [3,6-11,5]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36 až 60g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54,4/100 000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11,3 [5,8-22,2]</w:t>
                  </w:r>
                </w:p>
              </w:tc>
            </w:tr>
            <w:tr w:rsidR="008762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více než 60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129,1/100 000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t>21,7 [10,8-43,5]</w:t>
                  </w:r>
                </w:p>
              </w:tc>
            </w:tr>
          </w:tbl>
          <w:p w:rsidR="008762B8" w:rsidRDefault="0087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sz w:val="15"/>
                <w:szCs w:val="15"/>
                <w:u w:val="single"/>
                <w:vertAlign w:val="superscript"/>
              </w:rPr>
              <w:t>a</w:t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Hodnoceno na základě věku jako časově závislé proměnné a užívání estrogenu při zařazení</w:t>
            </w: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</w:rPr>
              <w:t xml:space="preserve">    </w:t>
            </w:r>
            <w:r>
              <w:rPr>
                <w:rFonts w:ascii="Helvetica" w:hAnsi="Helvetica" w:cs="Helvetica"/>
              </w:rPr>
              <w:br/>
              <w:t xml:space="preserve">Kumulativní dávka 12 g může odpovídat například jednomu roku léčby dávkou 50 mg denně </w:t>
            </w:r>
            <w:r>
              <w:rPr>
                <w:rFonts w:ascii="Helvetica" w:hAnsi="Helvetica" w:cs="Helvetica"/>
              </w:rPr>
              <w:lastRenderedPageBreak/>
              <w:t>20 dní každý měsíc.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Ve světle těchto údajů má být léčba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acetátem 10 mg, 50 mg, 100 mg nebo 300 mg/3 ml omezena na situace kde alternativní léčba nebo intervence jsou nedostupné nebo jsou považovány za nevhodné u všech indikací s výjimkou karcinomu prostaty. Rovněž má být použita nejnižší možná účinná dávka.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 (1 a 2 mg) v kombinaci s </w:t>
            </w:r>
            <w:proofErr w:type="spellStart"/>
            <w:r>
              <w:rPr>
                <w:rFonts w:ascii="Helvetica" w:hAnsi="Helvetica" w:cs="Helvetica"/>
              </w:rPr>
              <w:t>ethinylestradiolem</w:t>
            </w:r>
            <w:proofErr w:type="spellEnd"/>
            <w:r>
              <w:rPr>
                <w:rFonts w:ascii="Helvetica" w:hAnsi="Helvetica" w:cs="Helvetica"/>
              </w:rPr>
              <w:t xml:space="preserve"> (EE)/estradiol-</w:t>
            </w:r>
            <w:proofErr w:type="spellStart"/>
            <w:r>
              <w:rPr>
                <w:rFonts w:ascii="Helvetica" w:hAnsi="Helvetica" w:cs="Helvetica"/>
              </w:rPr>
              <w:t>valerátem</w:t>
            </w:r>
            <w:proofErr w:type="spellEnd"/>
            <w:r>
              <w:rPr>
                <w:rFonts w:ascii="Helvetica" w:hAnsi="Helvetica" w:cs="Helvetica"/>
              </w:rPr>
              <w:t xml:space="preserve"> (EV) je indikován k léčbě:</w:t>
            </w:r>
          </w:p>
        </w:tc>
      </w:tr>
      <w:tr w:rsidR="008762B8" w:rsidTr="00876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591"/>
            </w:tblGrid>
            <w:tr w:rsidR="008762B8">
              <w:trPr>
                <w:tblCellSpacing w:w="0" w:type="dxa"/>
                <w:jc w:val="right"/>
              </w:trPr>
              <w:tc>
                <w:tcPr>
                  <w:tcW w:w="4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</w:rPr>
                    <w:lastRenderedPageBreak/>
                    <w:t>-</w:t>
                  </w:r>
                </w:p>
              </w:tc>
              <w:tc>
                <w:tcPr>
                  <w:tcW w:w="85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 xml:space="preserve">středně závažné až závažné akné související s citlivostí k androgenům (se seboreou nebo bez ní) a/nebo hirsutismem u žen ve fertilním věku, perorální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kontraceptivum</w:t>
                  </w:r>
                  <w:proofErr w:type="spellEnd"/>
                  <w:r>
                    <w:rPr>
                      <w:rFonts w:ascii="Helvetica" w:hAnsi="Helvetica" w:cs="Helvetica"/>
                    </w:rPr>
                    <w:t>.</w:t>
                  </w:r>
                </w:p>
              </w:tc>
            </w:tr>
            <w:tr w:rsidR="008762B8">
              <w:trPr>
                <w:tblCellSpacing w:w="0" w:type="dxa"/>
                <w:jc w:val="right"/>
              </w:trPr>
              <w:tc>
                <w:tcPr>
                  <w:tcW w:w="4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</w:rPr>
                    <w:t>-</w:t>
                  </w:r>
                </w:p>
              </w:tc>
              <w:tc>
                <w:tcPr>
                  <w:tcW w:w="85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 xml:space="preserve">hormonální substituční terapie (HRT) známek a příznaků nedostatku estrogenu u </w:t>
                  </w:r>
                  <w:proofErr w:type="gramStart"/>
                  <w:r>
                    <w:rPr>
                      <w:rFonts w:ascii="Helvetica" w:hAnsi="Helvetica" w:cs="Helvetica"/>
                    </w:rPr>
                    <w:t>žen od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jejichž menopauzy uběhlo minimálně 6 měsíců nebo v případě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hypogonadismu</w:t>
                  </w:r>
                  <w:proofErr w:type="spellEnd"/>
                  <w:r>
                    <w:rPr>
                      <w:rFonts w:ascii="Helvetica" w:hAnsi="Helvetica" w:cs="Helvetica"/>
                    </w:rPr>
                    <w:t>, kastrace nebo primární nedostatečnost ovarií u žen s intaktní dělohou</w:t>
                  </w:r>
                </w:p>
              </w:tc>
            </w:tr>
            <w:tr w:rsidR="008762B8">
              <w:trPr>
                <w:tblCellSpacing w:w="0" w:type="dxa"/>
                <w:jc w:val="right"/>
              </w:trPr>
              <w:tc>
                <w:tcPr>
                  <w:tcW w:w="4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</w:rPr>
                    <w:t>-</w:t>
                  </w:r>
                </w:p>
              </w:tc>
              <w:tc>
                <w:tcPr>
                  <w:tcW w:w="85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>Prevence osteoporózy u postmenopauzálních žen s vysokým rizikem vzniku zlomenin, které netolerují nebo mají kontraindikované jiné léčivé přípravky používané pro prevenci osteoporózy</w:t>
                  </w:r>
                </w:p>
              </w:tc>
            </w:tr>
            <w:tr w:rsidR="008762B8">
              <w:trPr>
                <w:tblCellSpacing w:w="0" w:type="dxa"/>
                <w:jc w:val="right"/>
              </w:trPr>
              <w:tc>
                <w:tcPr>
                  <w:tcW w:w="4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</w:rPr>
                    <w:t>-</w:t>
                  </w:r>
                </w:p>
              </w:tc>
              <w:tc>
                <w:tcPr>
                  <w:tcW w:w="85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>Úprava nepravidelného menstruačního cyklu.</w:t>
                  </w:r>
                </w:p>
              </w:tc>
            </w:tr>
            <w:tr w:rsidR="008762B8">
              <w:trPr>
                <w:tblCellSpacing w:w="0" w:type="dxa"/>
                <w:jc w:val="right"/>
              </w:trPr>
              <w:tc>
                <w:tcPr>
                  <w:tcW w:w="4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</w:rPr>
                    <w:t>-</w:t>
                  </w:r>
                </w:p>
              </w:tc>
              <w:tc>
                <w:tcPr>
                  <w:tcW w:w="850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>Léčba primární a sekundární amenorey.</w:t>
                  </w:r>
                </w:p>
              </w:tc>
            </w:tr>
          </w:tbl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</w:rPr>
              <w:t xml:space="preserve">    </w:t>
            </w:r>
            <w:r>
              <w:rPr>
                <w:rFonts w:ascii="Helvetica" w:hAnsi="Helvetica" w:cs="Helvetica"/>
              </w:rPr>
              <w:br/>
              <w:t>Nebyly zjištěny žádné nové skutečnosti týkající se bezpečnostních rizik spojených se zvýšeným rizikem meningiomu v souvislosti s používáním nízkých dávek CPA/EE a CPA/EV.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Protože se však riziko vzniku meningiomu zvyšuje se zvyšující se kumulativní dávkou 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acetátu, kombinované přípravky s nízkou dávkou (</w:t>
            </w:r>
            <w:proofErr w:type="spellStart"/>
            <w:r>
              <w:rPr>
                <w:rFonts w:ascii="Helvetica" w:hAnsi="Helvetica" w:cs="Helvetica"/>
              </w:rPr>
              <w:t>cyproteron</w:t>
            </w:r>
            <w:proofErr w:type="spellEnd"/>
            <w:r>
              <w:rPr>
                <w:rFonts w:ascii="Helvetica" w:hAnsi="Helvetica" w:cs="Helvetica"/>
              </w:rPr>
              <w:t xml:space="preserve"> acetátu) jsou nyní kontraindikovány u pacientů s meningiomem nebo s meningiomem v anamnéze.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Hlášení nežádoucích účinků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Žádáme zdravotnické pracovníky, aby hlásili nežádoucí účinky léku, při podezření na souvislost s přípravky obsahujícími CPA.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Jakékoli podezření na závažný nebo neočekávaný nežádoucí účinek a jiné skutečnosti závažné pro zdraví léčených osob je třeba hlásit Státnímu ústavu pro kontrolu léčiv.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Hlášení je možné zasílat pomocí tištěného nebo elektronického formuláře dostupného na webových stránkách SÚKL, vše potřebné pro hlášení najdete na: </w:t>
            </w:r>
            <w:hyperlink r:id="rId4" w:tgtFrame="_blank" w:history="1">
              <w:r>
                <w:rPr>
                  <w:rStyle w:val="Hypertextovodkaz"/>
                  <w:rFonts w:ascii="Helvetica" w:hAnsi="Helvetica" w:cs="Helvetica"/>
                  <w:color w:val="0070C2"/>
                </w:rPr>
                <w:t>http://www.sukl.cz/nahlasit-nezadouci-ucinek.</w:t>
              </w:r>
            </w:hyperlink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Adresa pro zasílání je Státní ústav pro kontrolu léčiv, oddělení </w:t>
            </w:r>
            <w:proofErr w:type="spellStart"/>
            <w:r>
              <w:rPr>
                <w:rFonts w:ascii="Helvetica" w:hAnsi="Helvetica" w:cs="Helvetica"/>
              </w:rPr>
              <w:t>farmakovigilance</w:t>
            </w:r>
            <w:proofErr w:type="spellEnd"/>
            <w:r>
              <w:rPr>
                <w:rFonts w:ascii="Helvetica" w:hAnsi="Helvetica" w:cs="Helvetica"/>
              </w:rPr>
              <w:t xml:space="preserve">, Šrobárova 48, Praha 10, 100 41, email: </w:t>
            </w:r>
            <w:hyperlink r:id="rId5" w:tgtFrame="_blank" w:history="1">
              <w:r>
                <w:rPr>
                  <w:rStyle w:val="Hypertextovodkaz"/>
                  <w:rFonts w:ascii="Helvetica" w:hAnsi="Helvetica" w:cs="Helvetica"/>
                  <w:color w:val="0070C2"/>
                </w:rPr>
                <w:t>farmakovigilance@sukl.cz</w:t>
              </w:r>
            </w:hyperlink>
            <w:r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br/>
              <w:t xml:space="preserve">    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Kontaktní údaje na držitele rozhodnutí o registraci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S případnými dalšími dotazy se prosím obracejte na zástupce držitele rozhodnutí o registraci: </w:t>
            </w:r>
            <w:r>
              <w:rPr>
                <w:rFonts w:ascii="Helvetica" w:hAnsi="Helvetica" w:cs="Helvetica"/>
                <w:u w:val="single"/>
              </w:rPr>
              <w:t xml:space="preserve">BAYER s.r.o. </w:t>
            </w:r>
            <w:proofErr w:type="spellStart"/>
            <w:r>
              <w:rPr>
                <w:rFonts w:ascii="Helvetica" w:hAnsi="Helvetica" w:cs="Helvetica"/>
                <w:u w:val="single"/>
              </w:rPr>
              <w:t>Siemensova</w:t>
            </w:r>
            <w:proofErr w:type="spellEnd"/>
            <w:r>
              <w:rPr>
                <w:rFonts w:ascii="Helvetica" w:hAnsi="Helvetica" w:cs="Helvetica"/>
                <w:u w:val="single"/>
              </w:rPr>
              <w:t xml:space="preserve"> 2717/4, 155 00 Praha 5 - Stodůlky </w:t>
            </w:r>
            <w:r>
              <w:rPr>
                <w:rFonts w:ascii="Helvetica" w:hAnsi="Helvetica" w:cs="Helvetica"/>
              </w:rPr>
              <w:br/>
              <w:t> </w:t>
            </w:r>
            <w:r>
              <w:rPr>
                <w:rFonts w:ascii="Helvetica" w:hAnsi="Helvetica" w:cs="Helvetica"/>
              </w:rPr>
              <w:br/>
              <w:t xml:space="preserve">Nežádoucí účinky: Tel. +420 266 101 111, (Mgr. Jana Vydrová) </w:t>
            </w:r>
            <w:hyperlink r:id="rId6" w:tgtFrame="_blank" w:history="1">
              <w:r>
                <w:rPr>
                  <w:rStyle w:val="Hypertextovodkaz"/>
                  <w:rFonts w:ascii="Helvetica" w:hAnsi="Helvetica" w:cs="Helvetica"/>
                  <w:color w:val="0070C2"/>
                </w:rPr>
                <w:t>pharmacovigilance.czech@bayer.com</w:t>
              </w:r>
            </w:hyperlink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lastRenderedPageBreak/>
              <w:t>Medicínské oddělení: Tel. +420 266 101 988 (MUDr. Emanuel Filo),</w:t>
            </w:r>
            <w:r>
              <w:rPr>
                <w:rFonts w:ascii="Helvetica" w:hAnsi="Helvetica" w:cs="Helvetica"/>
              </w:rPr>
              <w:br/>
              <w:t> </w:t>
            </w:r>
            <w:hyperlink r:id="rId7" w:tgtFrame="_blank" w:history="1">
              <w:r>
                <w:rPr>
                  <w:rStyle w:val="Hypertextovodkaz"/>
                  <w:rFonts w:ascii="Helvetica" w:hAnsi="Helvetica" w:cs="Helvetica"/>
                  <w:color w:val="0070C2"/>
                </w:rPr>
                <w:t>emanuel.filo@bayer.com</w:t>
              </w:r>
            </w:hyperlink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  <w:t xml:space="preserve">Kontaktní údaje na místního zástupce držitele rozhodnutí o registraci a další informace o výše uvedeném léčivém přípravku jsou rovněž uvedeny v Souhrnu údajů o přípravku a v příbalové informaci, které jsou uveřejněny na webových stránkách Evropské agentury pro léčivé přípravky: </w:t>
            </w:r>
            <w:hyperlink r:id="rId8" w:tgtFrame="_blank" w:history="1">
              <w:r>
                <w:rPr>
                  <w:rStyle w:val="Hypertextovodkaz"/>
                  <w:rFonts w:ascii="Helvetica" w:hAnsi="Helvetica" w:cs="Helvetica"/>
                  <w:color w:val="0070C2"/>
                </w:rPr>
                <w:t>http://www.ema.europa.eu/ema/</w:t>
              </w:r>
            </w:hyperlink>
            <w:r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Seznam odkazů na literaturu</w:t>
            </w:r>
            <w:r>
              <w:rPr>
                <w:rFonts w:ascii="Helvetica" w:hAnsi="Helvetica" w:cs="Helvetica"/>
              </w:rPr>
              <w:br/>
              <w:t xml:space="preserve">    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576"/>
            </w:tblGrid>
            <w:tr w:rsidR="008762B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1.</w:t>
                  </w:r>
                </w:p>
              </w:tc>
              <w:tc>
                <w:tcPr>
                  <w:tcW w:w="8490" w:type="dxa"/>
                  <w:vAlign w:val="center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dfWeill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A et al. (2019 Jun).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Exposition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prolongée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à de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fortes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doses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d’acétate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cyprotérone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et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risque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méningiome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chez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la femme. Paris: ANSM. </w:t>
                  </w:r>
                  <w:hyperlink r:id="rId9" w:tgtFrame="_blank" w:history="1">
                    <w:r>
                      <w:rPr>
                        <w:rStyle w:val="Hypertextovodkaz"/>
                        <w:rFonts w:ascii="Helvetica" w:hAnsi="Helvetica" w:cs="Helvetica"/>
                        <w:color w:val="0070C2"/>
                        <w:sz w:val="15"/>
                        <w:szCs w:val="15"/>
                      </w:rPr>
                      <w:t>https://www.ansm.sante.fr/var/ansm_site/storage/original/</w:t>
                    </w:r>
                    <w:r>
                      <w:rPr>
                        <w:rFonts w:ascii="Helvetica" w:hAnsi="Helvetica" w:cs="Helvetica"/>
                        <w:color w:val="0070C2"/>
                        <w:sz w:val="15"/>
                        <w:szCs w:val="15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Hypertextovodkaz"/>
                        <w:rFonts w:ascii="Helvetica" w:hAnsi="Helvetica" w:cs="Helvetica"/>
                        <w:color w:val="0070C2"/>
                        <w:sz w:val="15"/>
                        <w:szCs w:val="15"/>
                      </w:rPr>
                      <w:t>application</w:t>
                    </w:r>
                    <w:proofErr w:type="spellEnd"/>
                    <w:r>
                      <w:rPr>
                        <w:rStyle w:val="Hypertextovodkaz"/>
                        <w:rFonts w:ascii="Helvetica" w:hAnsi="Helvetica" w:cs="Helvetica"/>
                        <w:color w:val="0070C2"/>
                        <w:sz w:val="15"/>
                        <w:szCs w:val="15"/>
                      </w:rPr>
                      <w:t>/b632fbd0387cd9e80a8312469ed52d2a.pdf</w:t>
                    </w:r>
                  </w:hyperlink>
                </w:p>
              </w:tc>
            </w:tr>
          </w:tbl>
          <w:p w:rsidR="008762B8" w:rsidRDefault="008762B8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</w:rPr>
              <w:t xml:space="preserve">     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>   </w:t>
            </w:r>
            <w:r>
              <w:rPr>
                <w:rFonts w:ascii="Helvetica" w:hAnsi="Helvetica" w:cs="Helvetica"/>
              </w:rPr>
              <w:br/>
              <w:t>S pozdravem,</w:t>
            </w:r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    </w:t>
            </w:r>
            <w:r>
              <w:rPr>
                <w:rFonts w:ascii="Helvetica" w:hAnsi="Helvetica" w:cs="Helvetica"/>
              </w:rPr>
              <w:br/>
              <w:t xml:space="preserve">MUDr. Magdalena </w:t>
            </w:r>
            <w:proofErr w:type="spellStart"/>
            <w:r>
              <w:rPr>
                <w:rFonts w:ascii="Helvetica" w:hAnsi="Helvetica" w:cs="Helvetica"/>
              </w:rPr>
              <w:t>Cook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Country </w:t>
            </w:r>
            <w:proofErr w:type="spellStart"/>
            <w:r>
              <w:rPr>
                <w:rFonts w:ascii="Helvetica" w:hAnsi="Helvetica" w:cs="Helvetica"/>
                <w:sz w:val="15"/>
                <w:szCs w:val="15"/>
              </w:rPr>
              <w:t>Medical</w:t>
            </w:r>
            <w:proofErr w:type="spellEnd"/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5"/>
                <w:szCs w:val="15"/>
              </w:rPr>
              <w:t>Director</w:t>
            </w:r>
            <w:proofErr w:type="spellEnd"/>
            <w:r>
              <w:rPr>
                <w:rFonts w:ascii="Helvetica" w:hAnsi="Helvetica" w:cs="Helvetica"/>
              </w:rPr>
              <w:br/>
              <w:t xml:space="preserve">  </w:t>
            </w:r>
            <w:r>
              <w:rPr>
                <w:rFonts w:ascii="Helvetica" w:hAnsi="Helvetica" w:cs="Helvetica"/>
              </w:rPr>
              <w:br/>
              <w:t xml:space="preserve">  </w:t>
            </w:r>
          </w:p>
          <w:tbl>
            <w:tblPr>
              <w:tblW w:w="6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3224"/>
            </w:tblGrid>
            <w:tr w:rsidR="008762B8">
              <w:trPr>
                <w:tblCellSpacing w:w="0" w:type="dxa"/>
              </w:trPr>
              <w:tc>
                <w:tcPr>
                  <w:tcW w:w="3390" w:type="dxa"/>
                  <w:vAlign w:val="bottom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</w:rPr>
                    <w:t>V zastoupení</w:t>
                  </w:r>
                  <w:r>
                    <w:rPr>
                      <w:rFonts w:ascii="Helvetica" w:hAnsi="Helvetica" w:cs="Helvetica"/>
                    </w:rPr>
                    <w:br/>
                    <w:t> </w:t>
                  </w:r>
                  <w:r>
                    <w:rPr>
                      <w:rFonts w:ascii="Helvetica" w:hAnsi="Helvetica" w:cs="Helvetica"/>
                    </w:rPr>
                    <w:br/>
                    <w:t xml:space="preserve">  </w:t>
                  </w:r>
                  <w:r>
                    <w:rPr>
                      <w:rFonts w:ascii="Helvetica" w:hAnsi="Helvetica" w:cs="Helvetica"/>
                    </w:rPr>
                    <w:br/>
                    <w:t>Mgr. Jana Vydrová</w:t>
                  </w:r>
                  <w:r>
                    <w:rPr>
                      <w:rFonts w:ascii="Helvetica" w:hAnsi="Helvetica" w:cs="Helvetica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Pharmacovigilance</w:t>
                  </w:r>
                  <w:proofErr w:type="spellEnd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Country </w:t>
                  </w:r>
                  <w:proofErr w:type="spellStart"/>
                  <w:r>
                    <w:rPr>
                      <w:rFonts w:ascii="Helvetica" w:hAnsi="Helvetica" w:cs="Helvetica"/>
                      <w:sz w:val="15"/>
                      <w:szCs w:val="15"/>
                    </w:rPr>
                    <w:t>Head</w:t>
                  </w:r>
                  <w:proofErr w:type="spellEnd"/>
                </w:p>
              </w:tc>
              <w:tc>
                <w:tcPr>
                  <w:tcW w:w="3180" w:type="dxa"/>
                  <w:vAlign w:val="bottom"/>
                  <w:hideMark/>
                </w:tcPr>
                <w:p w:rsidR="008762B8" w:rsidRDefault="008762B8">
                  <w:pPr>
                    <w:spacing w:before="100" w:beforeAutospacing="1" w:after="100" w:afterAutospacing="1"/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762000" cy="933450"/>
                        <wp:effectExtent l="0" t="0" r="0" b="0"/>
                        <wp:docPr id="1" name="Obrázek 1" descr="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-7215812604191975920m_8910912678182094772m_-9191193088689991836gmail-m_272783980252261055gmail-m_-3232487623068854148_x0000_i1025" descr="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2B8" w:rsidRDefault="0087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2B8" w:rsidRDefault="008762B8">
      <w:bookmarkStart w:id="0" w:name="_GoBack"/>
      <w:bookmarkEnd w:id="0"/>
    </w:p>
    <w:sectPr w:rsidR="008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B8"/>
    <w:rsid w:val="004A695D"/>
    <w:rsid w:val="008762B8"/>
    <w:rsid w:val="00E0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92A3-8488-4312-96FE-E937C90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2B8"/>
    <w:pPr>
      <w:spacing w:after="0" w:line="240" w:lineRule="auto"/>
    </w:pPr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link.pharma-marketing.cz%2Fc%3Fp%3DxBDQytClTiXQwf0gRtCy0NhE0MjQv-LzaMQQWA3QtNCF0NntYkPQqkk-0MLQkHfQq9DHvWh0dHA6Ly93d3cuZW1hLmV1cm9wYS5ldS9lbWEvpDM5MTbEEPE_0IIFM1LQlkPQjdCL0NLQqS3QyORQuGxpbmsucGhhcm1hLW1hcmtldGluZy5jesQU0MgxXOYJ0LvQ3yPQ1tCtXtDSE-jQvNDA0LfQ19CALA&amp;data=02%7C01%7CJan.Jiskra%40vfn.cz%7Cd7b92b0b69bc44729f8508d7e5d88165%7C0f277086d4e04971bc1abbc5df0eb246%7C0%7C0%7C637230590355404677&amp;sdata=LCBH66oDGNu4q%2B6cvWY0pKoFalSBWcq75vycqXP4Rjw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link.pharma-marketing.cz%2Fc%3Fp%3DxBDQytClTiXQwf0gRtCy0NhE0MjQv-LzaMQQdCQS0M_rAX9E0KxTN9Cl-vQx771tYWlsdG86ZW1hbnVlbC5maWxvQGJheWVyLmNvbaQzOTE2xBDxP9CCBTNS0JZD0I3Qi9DS0Kkt0MjkULhsaW5rLnBoYXJtYS1tYXJrZXRpbmcuY3rEFNDIMVzmCdC70N8j0NbQrV7Q0hPo0LzQwNC30NfQgCw&amp;data=02%7C01%7CJan.Jiskra%40vfn.cz%7Cd7b92b0b69bc44729f8508d7e5d88165%7C0f277086d4e04971bc1abbc5df0eb246%7C0%7C0%7C637230590355404677&amp;sdata=RgkXNm0F3Q42EPDbNNF7SasRxNqQmQzLovSLiIcx4Ps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link.pharma-marketing.cz%2Fc%3Fp%3DxBDQytClTiXQwf0gRtCy0NhE0MjQv-LzaMQQHjnQrmTQ3dClZkfQt9CQTdCKSxB-0J3ZKG1haWx0bzpwaGFybWFjb3ZpZ2lsYW5jZS5jemVjaEBiYXllci5jb22kMzkxNsQQ8T_QggUzUtCWQ9CN0IvQ0tCpLdDI5FC4bGluay5waGFybWEtbWFya2V0aW5nLmN6xBTQyDFc5gnQu9DfI9DW0K1e0NIT6NC80MDQt9DX0IAs&amp;data=02%7C01%7CJan.Jiskra%40vfn.cz%7Cd7b92b0b69bc44729f8508d7e5d88165%7C0f277086d4e04971bc1abbc5df0eb246%7C0%7C0%7C637230590355394717&amp;sdata=FFzQ0FkPIvEvCE9nNeQXDbxgMacnMuaDEJ%2B5q5j%2FMJ8%3D&amp;reserved=0" TargetMode="External"/><Relationship Id="rId11" Type="http://schemas.openxmlformats.org/officeDocument/2006/relationships/image" Target="cid:1719c0113104cff311" TargetMode="External"/><Relationship Id="rId5" Type="http://schemas.openxmlformats.org/officeDocument/2006/relationships/hyperlink" Target="https://eur03.safelinks.protection.outlook.com/?url=http%3A%2F%2Flink.pharma-marketing.cz%2Fc%3Fp%3DxBDQytClTiXQwf0gRtCy0NhE0MjQv-LzaMQQfSbQpdCJ0I4X0NhL0LQJQxkg-AXQmb9tYWlsdG86ZmFybWFrb3ZpZ2lsYW5jZUBzdWtsLmN6pDM5MTbEEPE_0IIFM1LQlkPQjdCL0NLQqS3QyORQuGxpbmsucGhhcm1hLW1hcmtldGluZy5jesQU0MgxXOYJ0LvQ3yPQ1tCtXtDSE-jQvNDA0LfQ19CALA&amp;data=02%7C01%7CJan.Jiskra%40vfn.cz%7Cd7b92b0b69bc44729f8508d7e5d88165%7C0f277086d4e04971bc1abbc5df0eb246%7C0%7C0%7C637230590355394717&amp;sdata=CJuFa3JhJIiUCe58OEJfvyud%2FZQ37jJD53%2Boa0P532c%3D&amp;reserved=0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eur03.safelinks.protection.outlook.com/?url=http%3A%2F%2Flink.pharma-marketing.cz%2Fc%3Fp%3DxBDQytClTiXQwf0gRtCy0NhE0MjQv-LzaMQQ0NpA0LPQinhmKkPQlNDKW00BZhs-2SxodHRwOi8vd3d3LnN1a2wuY3ovbmFobGFzaXQtbmV6YWRvdWNpLXVjaW5la6QzOTE2xBDxP9CCBTNS0JZD0I3Qi9DS0Kkt0MjkULhsaW5rLnBoYXJtYS1tYXJrZXRpbmcuY3rEFNDIMVzmCdC70N8j0NbQrV7Q0hPo0LzQwNC30NfQgCw&amp;data=02%7C01%7CJan.Jiskra%40vfn.cz%7Cd7b92b0b69bc44729f8508d7e5d88165%7C0f277086d4e04971bc1abbc5df0eb246%7C0%7C0%7C637230590355384768&amp;sdata=NdI9f7YEw8Sw2eS9DY%2FJhdaqyXRUSMDRCxLxzD%2BfOzc%3D&amp;reserved=0" TargetMode="External"/><Relationship Id="rId9" Type="http://schemas.openxmlformats.org/officeDocument/2006/relationships/hyperlink" Target="https://eur03.safelinks.protection.outlook.com/?url=http%3A%2F%2Flink.pharma-marketing.cz%2Fc%3Fp%3DxBDQytClTiXQwf0gRtCy0NhE0MjQv-LzaMQQ0Jcj0Mf6ZtC9ZUnQmTh5KdCyKNCX0MHZaWh0dHBzOi8vd3d3LmFuc20uc2FudGUuZnIvdmFyL2Fuc21fc2l0ZS9zdG9yYWdlL29yaWdpbmFsL2FwcGxpY2F0aW9uL2I2MzJmYmQwMzg3Y2Q5ZTgwYTgzMTI0NjllZDUyZDJhLnBkZqQzOTE2xBDxP9CCBTNS0JZD0I3Qi9DS0Kkt0MjkULhsaW5rLnBoYXJtYS1tYXJrZXRpbmcuY3rEFNDIMVzmCdC70N8j0NbQrV7Q0hPo0LzQwNC30NfQgCw&amp;data=02%7C01%7CJan.Jiskra%40vfn.cz%7Cd7b92b0b69bc44729f8508d7e5d88165%7C0f277086d4e04971bc1abbc5df0eb246%7C0%7C0%7C637230590355414629&amp;sdata=LFGplglt9qkppesQNC6Yn3m1kkeLYzrXxHxM05HSt9o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</dc:creator>
  <cp:keywords/>
  <dc:description/>
  <cp:lastModifiedBy>Cvejn</cp:lastModifiedBy>
  <cp:revision>1</cp:revision>
  <dcterms:created xsi:type="dcterms:W3CDTF">2020-04-22T13:40:00Z</dcterms:created>
  <dcterms:modified xsi:type="dcterms:W3CDTF">2020-04-22T13:41:00Z</dcterms:modified>
</cp:coreProperties>
</file>