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84E8" w14:textId="3C104D85" w:rsidR="009D6F0A" w:rsidRPr="009D6F0A" w:rsidRDefault="009D6F0A" w:rsidP="009D6F0A">
      <w:pPr>
        <w:rPr>
          <w:sz w:val="24"/>
          <w:szCs w:val="24"/>
        </w:rPr>
      </w:pPr>
      <w:r w:rsidRPr="009D6F0A">
        <w:rPr>
          <w:b/>
          <w:bCs/>
          <w:sz w:val="24"/>
          <w:szCs w:val="24"/>
        </w:rPr>
        <w:t xml:space="preserve">Stanovisko České endokrinologické společnosti k dostupnosti </w:t>
      </w:r>
      <w:proofErr w:type="spellStart"/>
      <w:r w:rsidRPr="009D6F0A">
        <w:rPr>
          <w:b/>
          <w:bCs/>
          <w:sz w:val="24"/>
          <w:szCs w:val="24"/>
        </w:rPr>
        <w:t>cyproteron</w:t>
      </w:r>
      <w:proofErr w:type="spellEnd"/>
      <w:r w:rsidRPr="009D6F0A">
        <w:rPr>
          <w:b/>
          <w:bCs/>
          <w:sz w:val="24"/>
          <w:szCs w:val="24"/>
        </w:rPr>
        <w:t xml:space="preserve"> acetátu (</w:t>
      </w:r>
      <w:proofErr w:type="spellStart"/>
      <w:r w:rsidRPr="009D6F0A">
        <w:rPr>
          <w:b/>
          <w:bCs/>
          <w:sz w:val="24"/>
          <w:szCs w:val="24"/>
        </w:rPr>
        <w:t>Androcur</w:t>
      </w:r>
      <w:proofErr w:type="spellEnd"/>
      <w:r w:rsidRPr="009D6F0A">
        <w:rPr>
          <w:b/>
          <w:bCs/>
          <w:sz w:val="24"/>
          <w:szCs w:val="24"/>
        </w:rPr>
        <w:t>) a jeho použití v hormonální terapii trans žen</w:t>
      </w:r>
    </w:p>
    <w:p w14:paraId="41551FA5" w14:textId="53119D26" w:rsidR="009D6F0A" w:rsidRPr="009D6F0A" w:rsidRDefault="009D6F0A" w:rsidP="009D6F0A">
      <w:r w:rsidRPr="009D6F0A">
        <w:t>Česká endokrinologická společnost zaznamenala v posledním období výpadky dostupnosti léčivého</w:t>
      </w:r>
      <w:r w:rsidRPr="009D6F0A">
        <w:rPr>
          <w:b/>
          <w:bCs/>
        </w:rPr>
        <w:t xml:space="preserve"> </w:t>
      </w:r>
      <w:r w:rsidRPr="009D6F0A">
        <w:t>přípravku obsahujícího</w:t>
      </w:r>
      <w:r w:rsidRPr="009D6F0A">
        <w:rPr>
          <w:b/>
          <w:bCs/>
        </w:rPr>
        <w:t xml:space="preserve"> </w:t>
      </w:r>
      <w:proofErr w:type="spellStart"/>
      <w:r w:rsidRPr="009D6F0A">
        <w:rPr>
          <w:b/>
          <w:bCs/>
        </w:rPr>
        <w:t>cyproteron</w:t>
      </w:r>
      <w:proofErr w:type="spellEnd"/>
      <w:r w:rsidRPr="009D6F0A">
        <w:rPr>
          <w:b/>
          <w:bCs/>
        </w:rPr>
        <w:t xml:space="preserve"> acetát</w:t>
      </w:r>
      <w:r w:rsidRPr="009D6F0A">
        <w:t> ( v České republice dostupný zejména jako </w:t>
      </w:r>
      <w:proofErr w:type="spellStart"/>
      <w:r w:rsidRPr="00902DB8">
        <w:rPr>
          <w:b/>
          <w:bCs/>
        </w:rPr>
        <w:t>Androcur</w:t>
      </w:r>
      <w:proofErr w:type="spellEnd"/>
      <w:r w:rsidRPr="00902DB8">
        <w:t>),</w:t>
      </w:r>
      <w:r w:rsidRPr="009D6F0A">
        <w:t xml:space="preserve"> který je v některých případech využíván jako </w:t>
      </w:r>
      <w:proofErr w:type="spellStart"/>
      <w:r w:rsidRPr="009D6F0A">
        <w:t>antiandrogen</w:t>
      </w:r>
      <w:proofErr w:type="spellEnd"/>
      <w:r w:rsidRPr="009D6F0A">
        <w:t xml:space="preserve"> v rámci hormonální léčby trans žen.</w:t>
      </w:r>
    </w:p>
    <w:p w14:paraId="4D398C69" w14:textId="65C6A533" w:rsidR="009D6F0A" w:rsidRPr="009D6F0A" w:rsidRDefault="009D6F0A" w:rsidP="009D6F0A">
      <w:r w:rsidRPr="009D6F0A">
        <w:rPr>
          <w:b/>
          <w:bCs/>
        </w:rPr>
        <w:t>Příčiny omezené dostupnosti</w:t>
      </w:r>
    </w:p>
    <w:p w14:paraId="33CC707C" w14:textId="77777777" w:rsidR="009D6F0A" w:rsidRPr="009D6F0A" w:rsidRDefault="009D6F0A" w:rsidP="009D6F0A">
      <w:r w:rsidRPr="009D6F0A">
        <w:t>Omezení dostupnosti může souviset s několika faktory, zejména:</w:t>
      </w:r>
    </w:p>
    <w:p w14:paraId="450424CE" w14:textId="77777777" w:rsidR="009D6F0A" w:rsidRPr="009D6F0A" w:rsidRDefault="009D6F0A" w:rsidP="009D6F0A">
      <w:r w:rsidRPr="009D6F0A">
        <w:t>• změnami ve výrobě a distribuci léčivých přípravků v Evropě,</w:t>
      </w:r>
    </w:p>
    <w:p w14:paraId="4B04D1EB" w14:textId="77777777" w:rsidR="009D6F0A" w:rsidRPr="009D6F0A" w:rsidRDefault="009D6F0A" w:rsidP="009D6F0A">
      <w:r w:rsidRPr="009D6F0A">
        <w:t>• poklesem preskripce v důsledku bezpečnostních opatření přijatých regulačními orgány,</w:t>
      </w:r>
    </w:p>
    <w:p w14:paraId="0508EE0E" w14:textId="10BC9309" w:rsidR="009D6F0A" w:rsidRPr="009D6F0A" w:rsidRDefault="009D6F0A" w:rsidP="009D6F0A">
      <w:r w:rsidRPr="009D6F0A">
        <w:t xml:space="preserve">• úpravou klinických doporučení týkajících se používání </w:t>
      </w:r>
      <w:proofErr w:type="spellStart"/>
      <w:r w:rsidRPr="009D6F0A">
        <w:t>cyproteron</w:t>
      </w:r>
      <w:proofErr w:type="spellEnd"/>
      <w:r w:rsidRPr="009D6F0A">
        <w:t xml:space="preserve"> acetátu.</w:t>
      </w:r>
    </w:p>
    <w:p w14:paraId="41B3E6C4" w14:textId="2D617D43" w:rsidR="009D6F0A" w:rsidRPr="009D6F0A" w:rsidRDefault="009D6F0A" w:rsidP="009D6F0A">
      <w:r w:rsidRPr="009D6F0A">
        <w:t>V roce 2020 doporučila </w:t>
      </w:r>
      <w:proofErr w:type="spellStart"/>
      <w:r w:rsidRPr="009D6F0A">
        <w:rPr>
          <w:b/>
          <w:bCs/>
        </w:rPr>
        <w:t>European</w:t>
      </w:r>
      <w:proofErr w:type="spellEnd"/>
      <w:r w:rsidRPr="009D6F0A">
        <w:rPr>
          <w:b/>
          <w:bCs/>
        </w:rPr>
        <w:t xml:space="preserve"> </w:t>
      </w:r>
      <w:proofErr w:type="spellStart"/>
      <w:r w:rsidRPr="009D6F0A">
        <w:rPr>
          <w:b/>
          <w:bCs/>
        </w:rPr>
        <w:t>Medicines</w:t>
      </w:r>
      <w:proofErr w:type="spellEnd"/>
      <w:r w:rsidRPr="009D6F0A">
        <w:rPr>
          <w:b/>
          <w:bCs/>
        </w:rPr>
        <w:t xml:space="preserve"> </w:t>
      </w:r>
      <w:proofErr w:type="spellStart"/>
      <w:r w:rsidRPr="009D6F0A">
        <w:rPr>
          <w:b/>
          <w:bCs/>
        </w:rPr>
        <w:t>Agency</w:t>
      </w:r>
      <w:proofErr w:type="spellEnd"/>
      <w:r w:rsidRPr="009D6F0A">
        <w:t xml:space="preserve"> omezit používání </w:t>
      </w:r>
      <w:proofErr w:type="spellStart"/>
      <w:r w:rsidRPr="009D6F0A">
        <w:t>cyproteron</w:t>
      </w:r>
      <w:proofErr w:type="spellEnd"/>
      <w:r w:rsidRPr="009D6F0A">
        <w:t xml:space="preserve"> acetátu ve vyšších dávkách vzhledem k prokázanému riziku vzniku </w:t>
      </w:r>
      <w:proofErr w:type="spellStart"/>
      <w:r w:rsidRPr="009D6F0A">
        <w:t>meningeomu</w:t>
      </w:r>
      <w:proofErr w:type="spellEnd"/>
      <w:r w:rsidRPr="009D6F0A">
        <w:t>, které souvisí zejména s dlouhodobým podáváním vysokých kumulativních dávek tohoto léčiva.</w:t>
      </w:r>
    </w:p>
    <w:p w14:paraId="3F251FF4" w14:textId="100F47A3" w:rsidR="009D6F0A" w:rsidRPr="009D6F0A" w:rsidRDefault="009D6F0A" w:rsidP="009D6F0A">
      <w:r w:rsidRPr="009D6F0A">
        <w:rPr>
          <w:b/>
          <w:bCs/>
        </w:rPr>
        <w:t>Doporučení k dávkování</w:t>
      </w:r>
    </w:p>
    <w:p w14:paraId="0E47A338" w14:textId="77777777" w:rsidR="009D6F0A" w:rsidRPr="009D6F0A" w:rsidRDefault="009D6F0A" w:rsidP="009D6F0A">
      <w:r w:rsidRPr="009D6F0A">
        <w:t>S ohledem na dostupná bezpečnostní data je doporučeno:</w:t>
      </w:r>
    </w:p>
    <w:p w14:paraId="6D4D4B12" w14:textId="77777777" w:rsidR="009D6F0A" w:rsidRPr="009D6F0A" w:rsidRDefault="009D6F0A" w:rsidP="009D6F0A">
      <w:r w:rsidRPr="009D6F0A">
        <w:t xml:space="preserve">• používat nejnižší účinnou dávku </w:t>
      </w:r>
      <w:proofErr w:type="spellStart"/>
      <w:r w:rsidRPr="009D6F0A">
        <w:t>cyproteron</w:t>
      </w:r>
      <w:proofErr w:type="spellEnd"/>
      <w:r w:rsidRPr="009D6F0A">
        <w:t xml:space="preserve"> acetátu,</w:t>
      </w:r>
    </w:p>
    <w:p w14:paraId="4945E66D" w14:textId="2769327F" w:rsidR="009D6F0A" w:rsidRPr="009D6F0A" w:rsidRDefault="009D6F0A" w:rsidP="009D6F0A">
      <w:r w:rsidRPr="009D6F0A">
        <w:t>• vyhnout se dlouhodobému podávání vyšších dávek (≥25 mg denně),</w:t>
      </w:r>
      <w:r w:rsidR="00902DB8">
        <w:t xml:space="preserve"> vyhnout se celkové kumulativní dávce 12g </w:t>
      </w:r>
      <w:hyperlink r:id="rId4" w:tgtFrame="_blank" w:tooltip="https://doi.org/10.1136/bmj.n37" w:history="1">
        <w:r w:rsidR="006560DA" w:rsidRPr="006560DA">
          <w:rPr>
            <w:rStyle w:val="Hypertextovodkaz"/>
          </w:rPr>
          <w:t>https://doi.org/…n37</w:t>
        </w:r>
      </w:hyperlink>
      <w:r w:rsidR="006560DA" w:rsidRPr="006560DA">
        <w:t>)</w:t>
      </w:r>
    </w:p>
    <w:p w14:paraId="1FBF0A27" w14:textId="7EF5319D" w:rsidR="00902DB8" w:rsidRPr="009D6F0A" w:rsidRDefault="009D6F0A" w:rsidP="009D6F0A">
      <w:r w:rsidRPr="009D6F0A">
        <w:t xml:space="preserve">• u stabilizovaných pacientů zvážit postupné snížení dávky, pokud je dosaženo dostatečné </w:t>
      </w:r>
      <w:proofErr w:type="spellStart"/>
      <w:r w:rsidRPr="009D6F0A">
        <w:t>suprese</w:t>
      </w:r>
      <w:proofErr w:type="spellEnd"/>
      <w:r w:rsidRPr="009D6F0A">
        <w:t xml:space="preserve"> </w:t>
      </w:r>
      <w:r w:rsidR="00902DB8">
        <w:t xml:space="preserve">účinku </w:t>
      </w:r>
      <w:r w:rsidRPr="009D6F0A">
        <w:t>testosteronu</w:t>
      </w:r>
      <w:r>
        <w:t>.</w:t>
      </w:r>
    </w:p>
    <w:p w14:paraId="1493141A" w14:textId="186E95BC" w:rsidR="009D6F0A" w:rsidRPr="009D6F0A" w:rsidRDefault="009D6F0A" w:rsidP="009D6F0A">
      <w:r w:rsidRPr="009D6F0A">
        <w:t>V současné klinické praxi jsou často používány nižší dávky (např. 10–12,5 mg denně) v kombinaci s léčbou </w:t>
      </w:r>
      <w:r>
        <w:t>e</w:t>
      </w:r>
      <w:r w:rsidRPr="009D6F0A">
        <w:t>stradiolem</w:t>
      </w:r>
      <w:r>
        <w:t xml:space="preserve">-např. </w:t>
      </w:r>
      <w:proofErr w:type="spellStart"/>
      <w:r>
        <w:t>Estrofem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., </w:t>
      </w:r>
      <w:proofErr w:type="spellStart"/>
      <w:r>
        <w:t>Lenzetto</w:t>
      </w:r>
      <w:proofErr w:type="spellEnd"/>
      <w:r>
        <w:t xml:space="preserve"> </w:t>
      </w:r>
      <w:proofErr w:type="spellStart"/>
      <w:r>
        <w:t>spray</w:t>
      </w:r>
      <w:proofErr w:type="spellEnd"/>
    </w:p>
    <w:p w14:paraId="0E8AAC7B" w14:textId="04988AB8" w:rsidR="009D6F0A" w:rsidRPr="009D6F0A" w:rsidRDefault="009D6F0A" w:rsidP="009D6F0A">
      <w:pPr>
        <w:rPr>
          <w:b/>
          <w:bCs/>
        </w:rPr>
      </w:pPr>
      <w:r w:rsidRPr="009D6F0A">
        <w:rPr>
          <w:b/>
          <w:bCs/>
        </w:rPr>
        <w:t xml:space="preserve">Alternativy při nedostupnosti </w:t>
      </w:r>
      <w:proofErr w:type="spellStart"/>
      <w:r w:rsidRPr="009D6F0A">
        <w:rPr>
          <w:b/>
          <w:bCs/>
        </w:rPr>
        <w:t>cyproteron</w:t>
      </w:r>
      <w:proofErr w:type="spellEnd"/>
      <w:r w:rsidRPr="009D6F0A">
        <w:rPr>
          <w:b/>
          <w:bCs/>
        </w:rPr>
        <w:t xml:space="preserve"> acetát</w:t>
      </w:r>
      <w:r>
        <w:rPr>
          <w:b/>
          <w:bCs/>
        </w:rPr>
        <w:t>u</w:t>
      </w:r>
    </w:p>
    <w:p w14:paraId="7907A49A" w14:textId="2184D8EA" w:rsidR="009D6F0A" w:rsidRPr="009D6F0A" w:rsidRDefault="009D6F0A" w:rsidP="009D6F0A">
      <w:r w:rsidRPr="009D6F0A">
        <w:t>V případě nedostupnosti nebo kontraindikac</w:t>
      </w:r>
      <w:r>
        <w:t xml:space="preserve">i </w:t>
      </w:r>
      <w:r w:rsidRPr="009D6F0A">
        <w:t xml:space="preserve"> </w:t>
      </w:r>
      <w:proofErr w:type="spellStart"/>
      <w:r w:rsidRPr="009D6F0A">
        <w:t>cyproteron</w:t>
      </w:r>
      <w:proofErr w:type="spellEnd"/>
      <w:r w:rsidRPr="009D6F0A">
        <w:t xml:space="preserve"> acetátu lze zvážit jiné terapeutické postupy potlačení androgenů:</w:t>
      </w:r>
    </w:p>
    <w:p w14:paraId="35429172" w14:textId="6B768704" w:rsidR="009D6F0A" w:rsidRPr="009D6F0A" w:rsidRDefault="009D6F0A" w:rsidP="009D6F0A">
      <w:r w:rsidRPr="009D6F0A">
        <w:t xml:space="preserve">• analoga </w:t>
      </w:r>
      <w:proofErr w:type="spellStart"/>
      <w:r w:rsidRPr="009D6F0A">
        <w:t>GnRH</w:t>
      </w:r>
      <w:proofErr w:type="spellEnd"/>
      <w:r w:rsidRPr="009D6F0A">
        <w:t> (např. </w:t>
      </w:r>
      <w:proofErr w:type="spellStart"/>
      <w:r w:rsidRPr="00736AD7">
        <w:t>l</w:t>
      </w:r>
      <w:r w:rsidRPr="009D6F0A">
        <w:t>euprorelin</w:t>
      </w:r>
      <w:proofErr w:type="spellEnd"/>
      <w:r w:rsidRPr="009D6F0A">
        <w:t>, </w:t>
      </w:r>
      <w:proofErr w:type="spellStart"/>
      <w:r w:rsidRPr="00736AD7">
        <w:t>t</w:t>
      </w:r>
      <w:r w:rsidRPr="009D6F0A">
        <w:t>riptorelin</w:t>
      </w:r>
      <w:proofErr w:type="spellEnd"/>
      <w:r w:rsidRPr="009D6F0A">
        <w:t>),</w:t>
      </w:r>
    </w:p>
    <w:p w14:paraId="55D292A9" w14:textId="4774B4AC" w:rsidR="009D6F0A" w:rsidRPr="009D6F0A" w:rsidRDefault="009D6F0A" w:rsidP="009D6F0A">
      <w:r w:rsidRPr="009D6F0A">
        <w:t xml:space="preserve">• </w:t>
      </w:r>
      <w:proofErr w:type="spellStart"/>
      <w:r w:rsidRPr="009D6F0A">
        <w:t>antiandrogen</w:t>
      </w:r>
      <w:proofErr w:type="spellEnd"/>
      <w:r w:rsidRPr="009D6F0A">
        <w:t> </w:t>
      </w:r>
      <w:proofErr w:type="spellStart"/>
      <w:r w:rsidRPr="00736AD7">
        <w:t>s</w:t>
      </w:r>
      <w:r w:rsidRPr="009D6F0A">
        <w:t>pironola</w:t>
      </w:r>
      <w:r w:rsidR="00902DB8">
        <w:t>k</w:t>
      </w:r>
      <w:r w:rsidRPr="009D6F0A">
        <w:t>tone</w:t>
      </w:r>
      <w:proofErr w:type="spellEnd"/>
      <w:r w:rsidRPr="009D6F0A">
        <w:t>,</w:t>
      </w:r>
    </w:p>
    <w:p w14:paraId="6BD746E7" w14:textId="6B11EA1D" w:rsidR="009D6F0A" w:rsidRPr="009D6F0A" w:rsidRDefault="009D6F0A" w:rsidP="009D6F0A">
      <w:r w:rsidRPr="009D6F0A">
        <w:t>• optimalizaci dávky estradiolu, která může sama o sobě částečně potlačit sekreci gonadotropinů a produkci testosteronu.</w:t>
      </w:r>
    </w:p>
    <w:p w14:paraId="5E585788" w14:textId="294F4EC0" w:rsidR="009D6F0A" w:rsidRPr="009D6F0A" w:rsidRDefault="009D6F0A" w:rsidP="009D6F0A">
      <w:r w:rsidRPr="009D6F0A">
        <w:t>U části pacientů může být po stabilizaci tranzice zvážena také chirurgická léčba (</w:t>
      </w:r>
      <w:proofErr w:type="spellStart"/>
      <w:r w:rsidRPr="009D6F0A">
        <w:t>orchiektomie</w:t>
      </w:r>
      <w:proofErr w:type="spellEnd"/>
      <w:r w:rsidRPr="009D6F0A">
        <w:t xml:space="preserve">), která eliminuje potřebu dlouhodobé </w:t>
      </w:r>
      <w:proofErr w:type="spellStart"/>
      <w:r w:rsidRPr="009D6F0A">
        <w:t>antiandrogenní</w:t>
      </w:r>
      <w:proofErr w:type="spellEnd"/>
      <w:r w:rsidRPr="009D6F0A">
        <w:t xml:space="preserve"> terapie.</w:t>
      </w:r>
    </w:p>
    <w:p w14:paraId="1BBE06D3" w14:textId="27F8F2BE" w:rsidR="009D6F0A" w:rsidRPr="009D6F0A" w:rsidRDefault="009D6F0A" w:rsidP="009D6F0A">
      <w:r w:rsidRPr="009D6F0A">
        <w:rPr>
          <w:b/>
          <w:bCs/>
        </w:rPr>
        <w:t>Odborná doporučen</w:t>
      </w:r>
      <w:r>
        <w:rPr>
          <w:b/>
          <w:bCs/>
        </w:rPr>
        <w:t>í</w:t>
      </w:r>
    </w:p>
    <w:p w14:paraId="641897A7" w14:textId="77777777" w:rsidR="009D6F0A" w:rsidRPr="009D6F0A" w:rsidRDefault="009D6F0A" w:rsidP="009D6F0A">
      <w:r w:rsidRPr="009D6F0A">
        <w:t>Hormonální léčba transgender osob je popsána v doporučeních mezinárodních odborných společností, zejména:</w:t>
      </w:r>
    </w:p>
    <w:p w14:paraId="1E7EDB0E" w14:textId="77777777" w:rsidR="009D6F0A" w:rsidRPr="009D6F0A" w:rsidRDefault="009D6F0A" w:rsidP="009D6F0A">
      <w:r w:rsidRPr="009D6F0A">
        <w:t>• </w:t>
      </w:r>
      <w:proofErr w:type="spellStart"/>
      <w:r w:rsidRPr="009D6F0A">
        <w:rPr>
          <w:b/>
          <w:bCs/>
        </w:rPr>
        <w:t>Endocrine</w:t>
      </w:r>
      <w:proofErr w:type="spellEnd"/>
      <w:r w:rsidRPr="009D6F0A">
        <w:rPr>
          <w:b/>
          <w:bCs/>
        </w:rPr>
        <w:t xml:space="preserve"> Society</w:t>
      </w:r>
      <w:r w:rsidRPr="009D6F0A">
        <w:t> – </w:t>
      </w:r>
      <w:proofErr w:type="spellStart"/>
      <w:r w:rsidRPr="009D6F0A">
        <w:rPr>
          <w:i/>
          <w:iCs/>
        </w:rPr>
        <w:t>Clinical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Practice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Guideline</w:t>
      </w:r>
      <w:proofErr w:type="spellEnd"/>
      <w:r w:rsidRPr="009D6F0A">
        <w:rPr>
          <w:i/>
          <w:iCs/>
        </w:rPr>
        <w:t xml:space="preserve">: </w:t>
      </w:r>
      <w:proofErr w:type="spellStart"/>
      <w:r w:rsidRPr="009D6F0A">
        <w:rPr>
          <w:i/>
          <w:iCs/>
        </w:rPr>
        <w:t>Endocrine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Treatment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of</w:t>
      </w:r>
      <w:proofErr w:type="spellEnd"/>
      <w:r w:rsidRPr="009D6F0A">
        <w:rPr>
          <w:i/>
          <w:iCs/>
        </w:rPr>
        <w:t xml:space="preserve"> Gender-</w:t>
      </w:r>
      <w:proofErr w:type="spellStart"/>
      <w:r w:rsidRPr="009D6F0A">
        <w:rPr>
          <w:i/>
          <w:iCs/>
        </w:rPr>
        <w:t>Dysphoric</w:t>
      </w:r>
      <w:proofErr w:type="spellEnd"/>
      <w:r w:rsidRPr="009D6F0A">
        <w:rPr>
          <w:i/>
          <w:iCs/>
        </w:rPr>
        <w:t>/Gender-</w:t>
      </w:r>
      <w:proofErr w:type="spellStart"/>
      <w:r w:rsidRPr="009D6F0A">
        <w:rPr>
          <w:i/>
          <w:iCs/>
        </w:rPr>
        <w:t>Incongruent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Persons</w:t>
      </w:r>
      <w:proofErr w:type="spellEnd"/>
    </w:p>
    <w:p w14:paraId="03A66575" w14:textId="77777777" w:rsidR="009D6F0A" w:rsidRPr="009D6F0A" w:rsidRDefault="009D6F0A" w:rsidP="009D6F0A">
      <w:r w:rsidRPr="009D6F0A">
        <w:lastRenderedPageBreak/>
        <w:t>• </w:t>
      </w:r>
      <w:proofErr w:type="spellStart"/>
      <w:r w:rsidRPr="009D6F0A">
        <w:rPr>
          <w:b/>
          <w:bCs/>
        </w:rPr>
        <w:t>World</w:t>
      </w:r>
      <w:proofErr w:type="spellEnd"/>
      <w:r w:rsidRPr="009D6F0A">
        <w:rPr>
          <w:b/>
          <w:bCs/>
        </w:rPr>
        <w:t xml:space="preserve"> Professional </w:t>
      </w:r>
      <w:proofErr w:type="spellStart"/>
      <w:r w:rsidRPr="009D6F0A">
        <w:rPr>
          <w:b/>
          <w:bCs/>
        </w:rPr>
        <w:t>Association</w:t>
      </w:r>
      <w:proofErr w:type="spellEnd"/>
      <w:r w:rsidRPr="009D6F0A">
        <w:rPr>
          <w:b/>
          <w:bCs/>
        </w:rPr>
        <w:t xml:space="preserve"> </w:t>
      </w:r>
      <w:proofErr w:type="spellStart"/>
      <w:r w:rsidRPr="009D6F0A">
        <w:rPr>
          <w:b/>
          <w:bCs/>
        </w:rPr>
        <w:t>for</w:t>
      </w:r>
      <w:proofErr w:type="spellEnd"/>
      <w:r w:rsidRPr="009D6F0A">
        <w:rPr>
          <w:b/>
          <w:bCs/>
        </w:rPr>
        <w:t xml:space="preserve"> Transgender </w:t>
      </w:r>
      <w:proofErr w:type="spellStart"/>
      <w:r w:rsidRPr="009D6F0A">
        <w:rPr>
          <w:b/>
          <w:bCs/>
        </w:rPr>
        <w:t>Health</w:t>
      </w:r>
      <w:proofErr w:type="spellEnd"/>
      <w:r w:rsidRPr="009D6F0A">
        <w:t> – </w:t>
      </w:r>
      <w:proofErr w:type="spellStart"/>
      <w:r w:rsidRPr="009D6F0A">
        <w:rPr>
          <w:i/>
          <w:iCs/>
        </w:rPr>
        <w:t>Standards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of</w:t>
      </w:r>
      <w:proofErr w:type="spellEnd"/>
      <w:r w:rsidRPr="009D6F0A">
        <w:rPr>
          <w:i/>
          <w:iCs/>
        </w:rPr>
        <w:t xml:space="preserve"> Care </w:t>
      </w:r>
      <w:proofErr w:type="spellStart"/>
      <w:r w:rsidRPr="009D6F0A">
        <w:rPr>
          <w:i/>
          <w:iCs/>
        </w:rPr>
        <w:t>for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the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Health</w:t>
      </w:r>
      <w:proofErr w:type="spellEnd"/>
      <w:r w:rsidRPr="009D6F0A">
        <w:rPr>
          <w:i/>
          <w:iCs/>
        </w:rPr>
        <w:t xml:space="preserve"> </w:t>
      </w:r>
      <w:proofErr w:type="spellStart"/>
      <w:r w:rsidRPr="009D6F0A">
        <w:rPr>
          <w:i/>
          <w:iCs/>
        </w:rPr>
        <w:t>of</w:t>
      </w:r>
      <w:proofErr w:type="spellEnd"/>
      <w:r w:rsidRPr="009D6F0A">
        <w:rPr>
          <w:i/>
          <w:iCs/>
        </w:rPr>
        <w:t xml:space="preserve"> Transgender and Gender Diverse </w:t>
      </w:r>
      <w:proofErr w:type="spellStart"/>
      <w:r w:rsidRPr="009D6F0A">
        <w:rPr>
          <w:i/>
          <w:iCs/>
        </w:rPr>
        <w:t>People</w:t>
      </w:r>
      <w:proofErr w:type="spellEnd"/>
      <w:r w:rsidRPr="009D6F0A">
        <w:rPr>
          <w:i/>
          <w:iCs/>
        </w:rPr>
        <w:t xml:space="preserve"> (SOC-8)</w:t>
      </w:r>
    </w:p>
    <w:p w14:paraId="01CA5A82" w14:textId="1485232A" w:rsidR="009D6F0A" w:rsidRPr="009D6F0A" w:rsidRDefault="009D6F0A" w:rsidP="009D6F0A">
      <w:r w:rsidRPr="009D6F0A">
        <w:t>• </w:t>
      </w:r>
      <w:proofErr w:type="spellStart"/>
      <w:r w:rsidRPr="009D6F0A">
        <w:rPr>
          <w:b/>
          <w:bCs/>
        </w:rPr>
        <w:t>European</w:t>
      </w:r>
      <w:proofErr w:type="spellEnd"/>
      <w:r w:rsidRPr="009D6F0A">
        <w:rPr>
          <w:b/>
          <w:bCs/>
        </w:rPr>
        <w:t xml:space="preserve"> Society </w:t>
      </w:r>
      <w:proofErr w:type="spellStart"/>
      <w:r w:rsidRPr="009D6F0A">
        <w:rPr>
          <w:b/>
          <w:bCs/>
        </w:rPr>
        <w:t>of</w:t>
      </w:r>
      <w:proofErr w:type="spellEnd"/>
      <w:r w:rsidRPr="009D6F0A">
        <w:rPr>
          <w:b/>
          <w:bCs/>
        </w:rPr>
        <w:t xml:space="preserve"> </w:t>
      </w:r>
      <w:proofErr w:type="spellStart"/>
      <w:r w:rsidRPr="009D6F0A">
        <w:rPr>
          <w:b/>
          <w:bCs/>
        </w:rPr>
        <w:t>Endocrinology</w:t>
      </w:r>
      <w:proofErr w:type="spellEnd"/>
      <w:r w:rsidRPr="009D6F0A">
        <w:t> – vzdělávací a odborné materiály k hormonální léčbě transgender osob.</w:t>
      </w:r>
    </w:p>
    <w:p w14:paraId="4AFEE02D" w14:textId="77777777" w:rsidR="009D6F0A" w:rsidRPr="009D6F0A" w:rsidRDefault="009D6F0A" w:rsidP="009D6F0A">
      <w:r w:rsidRPr="009D6F0A">
        <w:t>Tato doporučení zdůrazňují individuální přístup k terapii, jehož cílem je dosažení fyziologických hladin pohlavních hormonů a minimalizace rizika nežádoucích účinků léčby.</w:t>
      </w:r>
    </w:p>
    <w:p w14:paraId="77E321B2" w14:textId="77777777" w:rsidR="008C3175" w:rsidRDefault="008C3175"/>
    <w:sectPr w:rsidR="008C3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A"/>
    <w:rsid w:val="000B63CF"/>
    <w:rsid w:val="00271228"/>
    <w:rsid w:val="003508CE"/>
    <w:rsid w:val="006560DA"/>
    <w:rsid w:val="00736AD7"/>
    <w:rsid w:val="008C3175"/>
    <w:rsid w:val="00902DB8"/>
    <w:rsid w:val="009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69FF"/>
  <w15:chartTrackingRefBased/>
  <w15:docId w15:val="{266E3FE9-C440-4E9D-97FB-0FA5DC3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F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F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F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F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F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F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F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F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F0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F0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F0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560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36/bmj.n3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342</Words>
  <Characters>2452</Characters>
  <Application>Microsoft Office Word</Application>
  <DocSecurity>0</DocSecurity>
  <Lines>44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Munteanu</dc:creator>
  <cp:keywords/>
  <dc:description/>
  <cp:lastModifiedBy>Hana Munteanu</cp:lastModifiedBy>
  <cp:revision>5</cp:revision>
  <dcterms:created xsi:type="dcterms:W3CDTF">2026-03-15T19:35:00Z</dcterms:created>
  <dcterms:modified xsi:type="dcterms:W3CDTF">2026-03-17T15:34:00Z</dcterms:modified>
</cp:coreProperties>
</file>