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200F" w14:textId="77777777" w:rsidR="00000D0F" w:rsidRPr="0016062A" w:rsidRDefault="00B544E2" w:rsidP="00A944EE">
      <w:pPr>
        <w:rPr>
          <w:rFonts w:ascii="Arial" w:hAnsi="Arial" w:cs="Arial"/>
          <w:b/>
          <w:bCs/>
          <w:sz w:val="22"/>
          <w:szCs w:val="22"/>
        </w:rPr>
      </w:pPr>
      <w:r w:rsidRPr="0016062A">
        <w:rPr>
          <w:rFonts w:ascii="Arial" w:hAnsi="Arial" w:cs="Arial"/>
          <w:b/>
          <w:bCs/>
          <w:sz w:val="22"/>
          <w:szCs w:val="22"/>
        </w:rPr>
        <w:t xml:space="preserve">Rizika a benefity </w:t>
      </w:r>
      <w:r w:rsidR="002E5352" w:rsidRPr="0016062A">
        <w:rPr>
          <w:rFonts w:ascii="Arial" w:hAnsi="Arial" w:cs="Arial"/>
          <w:b/>
          <w:bCs/>
          <w:sz w:val="22"/>
          <w:szCs w:val="22"/>
        </w:rPr>
        <w:t xml:space="preserve">terapie </w:t>
      </w:r>
      <w:r w:rsidR="000D0C4E" w:rsidRPr="0016062A">
        <w:rPr>
          <w:rFonts w:ascii="Arial" w:hAnsi="Arial" w:cs="Arial"/>
          <w:b/>
          <w:bCs/>
          <w:sz w:val="22"/>
          <w:szCs w:val="22"/>
        </w:rPr>
        <w:t>lio</w:t>
      </w:r>
      <w:r w:rsidR="002E5352" w:rsidRPr="0016062A">
        <w:rPr>
          <w:rFonts w:ascii="Arial" w:hAnsi="Arial" w:cs="Arial"/>
          <w:b/>
          <w:bCs/>
          <w:sz w:val="22"/>
          <w:szCs w:val="22"/>
        </w:rPr>
        <w:t>t</w:t>
      </w:r>
      <w:r w:rsidR="001F215E" w:rsidRPr="0016062A">
        <w:rPr>
          <w:rFonts w:ascii="Arial" w:hAnsi="Arial" w:cs="Arial"/>
          <w:b/>
          <w:bCs/>
          <w:sz w:val="22"/>
          <w:szCs w:val="22"/>
        </w:rPr>
        <w:t>h</w:t>
      </w:r>
      <w:r w:rsidR="002E5352" w:rsidRPr="0016062A">
        <w:rPr>
          <w:rFonts w:ascii="Arial" w:hAnsi="Arial" w:cs="Arial"/>
          <w:b/>
          <w:bCs/>
          <w:sz w:val="22"/>
          <w:szCs w:val="22"/>
        </w:rPr>
        <w:t xml:space="preserve">yroninem </w:t>
      </w:r>
      <w:r w:rsidRPr="0016062A">
        <w:rPr>
          <w:rFonts w:ascii="Arial" w:hAnsi="Arial" w:cs="Arial"/>
          <w:b/>
          <w:bCs/>
          <w:sz w:val="22"/>
          <w:szCs w:val="22"/>
        </w:rPr>
        <w:t>v klinické praxi</w:t>
      </w:r>
      <w:r w:rsidR="00A72CF9" w:rsidRPr="0016062A">
        <w:rPr>
          <w:rFonts w:ascii="Arial" w:hAnsi="Arial" w:cs="Arial"/>
          <w:b/>
          <w:bCs/>
          <w:sz w:val="22"/>
          <w:szCs w:val="22"/>
        </w:rPr>
        <w:t xml:space="preserve"> – aktuální pohled</w:t>
      </w:r>
      <w:r w:rsidR="00000D0F" w:rsidRPr="0016062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E50D14" w14:textId="213946AE" w:rsidR="00D97CD8" w:rsidRPr="0016062A" w:rsidRDefault="00D97CD8" w:rsidP="00A944EE">
      <w:pPr>
        <w:rPr>
          <w:rFonts w:ascii="Arial" w:hAnsi="Arial" w:cs="Arial"/>
          <w:sz w:val="22"/>
          <w:szCs w:val="22"/>
        </w:rPr>
      </w:pPr>
      <w:r w:rsidRPr="0016062A">
        <w:rPr>
          <w:rFonts w:ascii="Arial" w:hAnsi="Arial" w:cs="Arial"/>
          <w:sz w:val="22"/>
          <w:szCs w:val="22"/>
        </w:rPr>
        <w:t>Vítková Hana, Kosák Mikuláš, Jiskra Jan</w:t>
      </w:r>
    </w:p>
    <w:p w14:paraId="58DE2E71" w14:textId="77777777" w:rsidR="00000D0F" w:rsidRPr="0016062A" w:rsidRDefault="00000D0F" w:rsidP="00000D0F">
      <w:pPr>
        <w:rPr>
          <w:rFonts w:ascii="Arial" w:hAnsi="Arial" w:cs="Arial"/>
          <w:b/>
          <w:bCs/>
          <w:sz w:val="22"/>
          <w:szCs w:val="22"/>
        </w:rPr>
      </w:pPr>
    </w:p>
    <w:p w14:paraId="2D2EC726" w14:textId="191AA51B" w:rsidR="00000D0F" w:rsidRPr="0016062A" w:rsidRDefault="00000D0F" w:rsidP="00000D0F">
      <w:pPr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>Připomínkováno a schváleno výborem ČES ČLS JEP per rollam v 4/2026</w:t>
      </w:r>
    </w:p>
    <w:p w14:paraId="34EAB6F7" w14:textId="68637C47" w:rsidR="00000D0F" w:rsidRPr="0016062A" w:rsidRDefault="00000D0F" w:rsidP="00000D0F">
      <w:pPr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>Datum zveřejnění 15. 5. 2026</w:t>
      </w:r>
    </w:p>
    <w:p w14:paraId="759A20D6" w14:textId="77777777" w:rsidR="00000D0F" w:rsidRPr="0016062A" w:rsidRDefault="00000D0F" w:rsidP="00A944EE">
      <w:pPr>
        <w:rPr>
          <w:rFonts w:ascii="Arial" w:hAnsi="Arial" w:cs="Arial"/>
          <w:sz w:val="22"/>
          <w:szCs w:val="22"/>
        </w:rPr>
      </w:pPr>
    </w:p>
    <w:p w14:paraId="55807BE4" w14:textId="77777777" w:rsidR="009B7A41" w:rsidRPr="0016062A" w:rsidRDefault="009B7A41" w:rsidP="00A944EE">
      <w:pPr>
        <w:rPr>
          <w:rFonts w:ascii="Arial" w:hAnsi="Arial" w:cs="Arial"/>
          <w:b/>
          <w:bCs/>
        </w:rPr>
      </w:pPr>
    </w:p>
    <w:p w14:paraId="14EFCAB6" w14:textId="088859D5" w:rsidR="009B7A41" w:rsidRPr="0016062A" w:rsidRDefault="009B7A41" w:rsidP="00A944EE">
      <w:pPr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>Úvod</w:t>
      </w:r>
    </w:p>
    <w:p w14:paraId="7C0C8BC0" w14:textId="7D3BC49A" w:rsidR="006D2CF8" w:rsidRPr="0016062A" w:rsidRDefault="00FD10B2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 xml:space="preserve">Na základě </w:t>
      </w:r>
      <w:r w:rsidR="00F126C6" w:rsidRPr="0016062A">
        <w:rPr>
          <w:rFonts w:ascii="Arial" w:hAnsi="Arial" w:cs="Arial"/>
          <w:sz w:val="20"/>
          <w:szCs w:val="20"/>
        </w:rPr>
        <w:t>americk</w:t>
      </w:r>
      <w:r w:rsidRPr="0016062A">
        <w:rPr>
          <w:rFonts w:ascii="Arial" w:hAnsi="Arial" w:cs="Arial"/>
          <w:sz w:val="20"/>
          <w:szCs w:val="20"/>
        </w:rPr>
        <w:t>ých</w:t>
      </w:r>
      <w:r w:rsidR="00177FB6" w:rsidRPr="0016062A">
        <w:rPr>
          <w:rFonts w:ascii="Arial" w:hAnsi="Arial" w:cs="Arial"/>
          <w:sz w:val="20"/>
          <w:szCs w:val="20"/>
        </w:rPr>
        <w:t xml:space="preserve"> (American Thyroid Association)</w:t>
      </w:r>
      <w:r w:rsidR="00F126C6" w:rsidRPr="0016062A">
        <w:rPr>
          <w:rFonts w:ascii="Arial" w:hAnsi="Arial" w:cs="Arial"/>
          <w:sz w:val="20"/>
          <w:szCs w:val="20"/>
        </w:rPr>
        <w:t xml:space="preserve"> i evropsk</w:t>
      </w:r>
      <w:r w:rsidRPr="0016062A">
        <w:rPr>
          <w:rFonts w:ascii="Arial" w:hAnsi="Arial" w:cs="Arial"/>
          <w:sz w:val="20"/>
          <w:szCs w:val="20"/>
        </w:rPr>
        <w:t>ých</w:t>
      </w:r>
      <w:r w:rsidR="00F126C6" w:rsidRPr="0016062A">
        <w:rPr>
          <w:rFonts w:ascii="Arial" w:hAnsi="Arial" w:cs="Arial"/>
          <w:sz w:val="20"/>
          <w:szCs w:val="20"/>
        </w:rPr>
        <w:t xml:space="preserve"> doporučení</w:t>
      </w:r>
      <w:r w:rsidR="00177FB6" w:rsidRPr="0016062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77FB6" w:rsidRPr="0016062A">
        <w:rPr>
          <w:rFonts w:ascii="Arial" w:hAnsi="Arial" w:cs="Arial"/>
          <w:sz w:val="20"/>
          <w:szCs w:val="20"/>
        </w:rPr>
        <w:t>European</w:t>
      </w:r>
      <w:proofErr w:type="spellEnd"/>
      <w:r w:rsidR="00177FB6" w:rsidRPr="001606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7FB6" w:rsidRPr="0016062A">
        <w:rPr>
          <w:rFonts w:ascii="Arial" w:hAnsi="Arial" w:cs="Arial"/>
          <w:sz w:val="20"/>
          <w:szCs w:val="20"/>
        </w:rPr>
        <w:t>Thyroid</w:t>
      </w:r>
      <w:proofErr w:type="spellEnd"/>
      <w:r w:rsidR="00177FB6" w:rsidRPr="001606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7FB6" w:rsidRPr="0016062A">
        <w:rPr>
          <w:rFonts w:ascii="Arial" w:hAnsi="Arial" w:cs="Arial"/>
          <w:sz w:val="20"/>
          <w:szCs w:val="20"/>
        </w:rPr>
        <w:t>Association</w:t>
      </w:r>
      <w:proofErr w:type="spellEnd"/>
      <w:r w:rsidR="00893008" w:rsidRPr="0016062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93008" w:rsidRPr="0016062A">
        <w:rPr>
          <w:rFonts w:ascii="Arial" w:hAnsi="Arial" w:cs="Arial"/>
          <w:sz w:val="20"/>
          <w:szCs w:val="20"/>
        </w:rPr>
        <w:t>British</w:t>
      </w:r>
      <w:proofErr w:type="spellEnd"/>
      <w:r w:rsidR="00893008" w:rsidRPr="001606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3008" w:rsidRPr="0016062A">
        <w:rPr>
          <w:rFonts w:ascii="Arial" w:hAnsi="Arial" w:cs="Arial"/>
          <w:sz w:val="20"/>
          <w:szCs w:val="20"/>
        </w:rPr>
        <w:t>Thyroid</w:t>
      </w:r>
      <w:proofErr w:type="spellEnd"/>
      <w:r w:rsidR="00893008" w:rsidRPr="001606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3008" w:rsidRPr="0016062A">
        <w:rPr>
          <w:rFonts w:ascii="Arial" w:hAnsi="Arial" w:cs="Arial"/>
          <w:sz w:val="20"/>
          <w:szCs w:val="20"/>
        </w:rPr>
        <w:t>Association</w:t>
      </w:r>
      <w:proofErr w:type="spellEnd"/>
      <w:r w:rsidR="00177FB6" w:rsidRPr="0016062A">
        <w:rPr>
          <w:rFonts w:ascii="Arial" w:hAnsi="Arial" w:cs="Arial"/>
          <w:sz w:val="20"/>
          <w:szCs w:val="20"/>
        </w:rPr>
        <w:t>)</w:t>
      </w:r>
      <w:r w:rsidR="00F126C6" w:rsidRPr="0016062A">
        <w:rPr>
          <w:rFonts w:ascii="Arial" w:hAnsi="Arial" w:cs="Arial"/>
          <w:sz w:val="20"/>
          <w:szCs w:val="20"/>
        </w:rPr>
        <w:t xml:space="preserve"> </w:t>
      </w:r>
      <w:r w:rsidRPr="0016062A">
        <w:rPr>
          <w:rFonts w:ascii="Arial" w:hAnsi="Arial" w:cs="Arial"/>
          <w:sz w:val="20"/>
          <w:szCs w:val="20"/>
        </w:rPr>
        <w:t>je hypotyreóza v současné době standardně léčena levotyrox</w:t>
      </w:r>
      <w:r w:rsidR="005D032D" w:rsidRPr="0016062A">
        <w:rPr>
          <w:rFonts w:ascii="Arial" w:hAnsi="Arial" w:cs="Arial"/>
          <w:sz w:val="20"/>
          <w:szCs w:val="20"/>
        </w:rPr>
        <w:t xml:space="preserve">inem </w:t>
      </w:r>
      <w:r w:rsidR="000D0C4E" w:rsidRPr="0016062A">
        <w:rPr>
          <w:rFonts w:ascii="Arial" w:hAnsi="Arial" w:cs="Arial"/>
          <w:sz w:val="20"/>
          <w:szCs w:val="20"/>
        </w:rPr>
        <w:t>(LT4)</w:t>
      </w:r>
      <w:r w:rsidR="00AE7960" w:rsidRPr="0016062A">
        <w:rPr>
          <w:rFonts w:ascii="Arial" w:hAnsi="Arial" w:cs="Arial"/>
          <w:sz w:val="20"/>
          <w:szCs w:val="20"/>
        </w:rPr>
        <w:t xml:space="preserve"> a v souladu s tím jsou i doporučení České endokrinologické společnosti</w:t>
      </w:r>
      <w:r w:rsidR="005D032D" w:rsidRPr="0016062A">
        <w:rPr>
          <w:rFonts w:ascii="Arial" w:hAnsi="Arial" w:cs="Arial"/>
          <w:sz w:val="20"/>
          <w:szCs w:val="20"/>
        </w:rPr>
        <w:t>.</w:t>
      </w:r>
      <w:r w:rsidR="0040621F" w:rsidRPr="0016062A">
        <w:rPr>
          <w:rFonts w:ascii="Arial" w:hAnsi="Arial" w:cs="Arial"/>
          <w:sz w:val="20"/>
          <w:szCs w:val="20"/>
        </w:rPr>
        <w:t xml:space="preserve"> </w:t>
      </w:r>
      <w:r w:rsidR="00177FB6" w:rsidRPr="0016062A">
        <w:rPr>
          <w:rFonts w:ascii="Arial" w:hAnsi="Arial" w:cs="Arial"/>
          <w:sz w:val="20"/>
          <w:szCs w:val="20"/>
        </w:rPr>
        <w:t xml:space="preserve">Do </w:t>
      </w:r>
      <w:r w:rsidR="003F62C2" w:rsidRPr="0016062A">
        <w:rPr>
          <w:rFonts w:ascii="Arial" w:hAnsi="Arial" w:cs="Arial"/>
          <w:sz w:val="20"/>
          <w:szCs w:val="20"/>
        </w:rPr>
        <w:t>70. l</w:t>
      </w:r>
      <w:r w:rsidR="00893008" w:rsidRPr="0016062A">
        <w:rPr>
          <w:rFonts w:ascii="Arial" w:hAnsi="Arial" w:cs="Arial"/>
          <w:sz w:val="20"/>
          <w:szCs w:val="20"/>
        </w:rPr>
        <w:t>e</w:t>
      </w:r>
      <w:r w:rsidR="00140CAC" w:rsidRPr="0016062A">
        <w:rPr>
          <w:rFonts w:ascii="Arial" w:hAnsi="Arial" w:cs="Arial"/>
          <w:sz w:val="20"/>
          <w:szCs w:val="20"/>
        </w:rPr>
        <w:t>t</w:t>
      </w:r>
      <w:r w:rsidR="003F62C2" w:rsidRPr="0016062A">
        <w:rPr>
          <w:rFonts w:ascii="Arial" w:hAnsi="Arial" w:cs="Arial"/>
          <w:sz w:val="20"/>
          <w:szCs w:val="20"/>
        </w:rPr>
        <w:t xml:space="preserve"> </w:t>
      </w:r>
      <w:r w:rsidR="005D032D" w:rsidRPr="0016062A">
        <w:rPr>
          <w:rFonts w:ascii="Arial" w:hAnsi="Arial" w:cs="Arial"/>
          <w:sz w:val="20"/>
          <w:szCs w:val="20"/>
        </w:rPr>
        <w:t>2</w:t>
      </w:r>
      <w:r w:rsidR="003F62C2" w:rsidRPr="0016062A">
        <w:rPr>
          <w:rFonts w:ascii="Arial" w:hAnsi="Arial" w:cs="Arial"/>
          <w:sz w:val="20"/>
          <w:szCs w:val="20"/>
        </w:rPr>
        <w:t xml:space="preserve">0. století se </w:t>
      </w:r>
      <w:r w:rsidR="00D752F3" w:rsidRPr="0016062A">
        <w:rPr>
          <w:rFonts w:ascii="Arial" w:hAnsi="Arial" w:cs="Arial"/>
          <w:sz w:val="20"/>
          <w:szCs w:val="20"/>
        </w:rPr>
        <w:t xml:space="preserve">také </w:t>
      </w:r>
      <w:r w:rsidR="003F62C2" w:rsidRPr="0016062A">
        <w:rPr>
          <w:rFonts w:ascii="Arial" w:hAnsi="Arial" w:cs="Arial"/>
          <w:sz w:val="20"/>
          <w:szCs w:val="20"/>
        </w:rPr>
        <w:t>běžně užívala kombinovaná substituční léčba (LT3 + LT4)</w:t>
      </w:r>
      <w:r w:rsidR="009B7A41" w:rsidRPr="0016062A">
        <w:rPr>
          <w:rFonts w:ascii="Arial" w:hAnsi="Arial" w:cs="Arial"/>
          <w:sz w:val="20"/>
          <w:szCs w:val="20"/>
        </w:rPr>
        <w:t xml:space="preserve"> </w:t>
      </w:r>
      <w:r w:rsidR="003F62C2" w:rsidRPr="0016062A">
        <w:rPr>
          <w:rFonts w:ascii="Arial" w:hAnsi="Arial" w:cs="Arial"/>
          <w:sz w:val="20"/>
          <w:szCs w:val="20"/>
        </w:rPr>
        <w:t>(</w:t>
      </w:r>
      <w:r w:rsidR="009B7A41" w:rsidRPr="0016062A">
        <w:rPr>
          <w:rFonts w:ascii="Arial" w:hAnsi="Arial" w:cs="Arial"/>
          <w:sz w:val="20"/>
          <w:szCs w:val="20"/>
        </w:rPr>
        <w:t>1</w:t>
      </w:r>
      <w:r w:rsidR="003F62C2" w:rsidRPr="0016062A">
        <w:rPr>
          <w:rFonts w:ascii="Arial" w:hAnsi="Arial" w:cs="Arial"/>
          <w:sz w:val="20"/>
          <w:szCs w:val="20"/>
        </w:rPr>
        <w:t>)</w:t>
      </w:r>
      <w:r w:rsidR="009B7A41" w:rsidRPr="0016062A">
        <w:rPr>
          <w:rFonts w:ascii="Arial" w:hAnsi="Arial" w:cs="Arial"/>
          <w:sz w:val="20"/>
          <w:szCs w:val="20"/>
        </w:rPr>
        <w:t xml:space="preserve">. </w:t>
      </w:r>
      <w:r w:rsidR="00893008" w:rsidRPr="0016062A">
        <w:rPr>
          <w:rFonts w:ascii="Arial" w:hAnsi="Arial" w:cs="Arial"/>
          <w:sz w:val="20"/>
          <w:szCs w:val="20"/>
        </w:rPr>
        <w:t xml:space="preserve">Vzhledem k periferní konverzi tyroxinu (T4) na </w:t>
      </w:r>
      <w:proofErr w:type="spellStart"/>
      <w:r w:rsidR="00893008" w:rsidRPr="0016062A">
        <w:rPr>
          <w:rFonts w:ascii="Arial" w:hAnsi="Arial" w:cs="Arial"/>
          <w:sz w:val="20"/>
          <w:szCs w:val="20"/>
        </w:rPr>
        <w:t>trijodthyronin</w:t>
      </w:r>
      <w:proofErr w:type="spellEnd"/>
      <w:r w:rsidR="00893008" w:rsidRPr="0016062A">
        <w:rPr>
          <w:rFonts w:ascii="Arial" w:hAnsi="Arial" w:cs="Arial"/>
          <w:sz w:val="20"/>
          <w:szCs w:val="20"/>
        </w:rPr>
        <w:t xml:space="preserve"> (T3) a díky vyšší stabilitě i snazšímu dávkování oproti liothyroninu, se stal lékem volby levotyroxin (2).</w:t>
      </w:r>
    </w:p>
    <w:p w14:paraId="3A484107" w14:textId="77777777" w:rsidR="006D2CF8" w:rsidRPr="0016062A" w:rsidRDefault="006D2CF8" w:rsidP="00A944EE">
      <w:pPr>
        <w:spacing w:before="240" w:after="0"/>
        <w:rPr>
          <w:rFonts w:ascii="Arial" w:hAnsi="Arial" w:cs="Arial"/>
          <w:sz w:val="20"/>
          <w:szCs w:val="20"/>
        </w:rPr>
      </w:pPr>
    </w:p>
    <w:p w14:paraId="18A61643" w14:textId="77777777" w:rsidR="00893008" w:rsidRPr="0016062A" w:rsidRDefault="00893008" w:rsidP="00A944EE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>Fyziologie</w:t>
      </w:r>
    </w:p>
    <w:p w14:paraId="22EEB072" w14:textId="039A59CC" w:rsidR="004C1420" w:rsidRPr="0016062A" w:rsidRDefault="004C1420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Přibližně 80</w:t>
      </w:r>
      <w:r w:rsidR="006E20D3" w:rsidRPr="0016062A">
        <w:rPr>
          <w:rFonts w:ascii="Arial" w:hAnsi="Arial" w:cs="Arial"/>
          <w:sz w:val="20"/>
          <w:szCs w:val="20"/>
        </w:rPr>
        <w:t xml:space="preserve"> </w:t>
      </w:r>
      <w:r w:rsidRPr="0016062A">
        <w:rPr>
          <w:rFonts w:ascii="Arial" w:hAnsi="Arial" w:cs="Arial"/>
          <w:sz w:val="20"/>
          <w:szCs w:val="20"/>
        </w:rPr>
        <w:t>% aktivního T3 vzniká konverzí z T4, což definuje T4 jako „</w:t>
      </w:r>
      <w:proofErr w:type="spellStart"/>
      <w:r w:rsidRPr="0016062A">
        <w:rPr>
          <w:rFonts w:ascii="Arial" w:hAnsi="Arial" w:cs="Arial"/>
          <w:sz w:val="20"/>
          <w:szCs w:val="20"/>
        </w:rPr>
        <w:t>prohormon</w:t>
      </w:r>
      <w:proofErr w:type="spellEnd"/>
      <w:r w:rsidRPr="0016062A">
        <w:rPr>
          <w:rFonts w:ascii="Arial" w:hAnsi="Arial" w:cs="Arial"/>
          <w:sz w:val="20"/>
          <w:szCs w:val="20"/>
        </w:rPr>
        <w:t>“ T3 a představuje jeden z klíčových argumentů pro monoterapii levotyroxinem (</w:t>
      </w:r>
      <w:r w:rsidR="00EE04C0" w:rsidRPr="0016062A">
        <w:rPr>
          <w:rFonts w:ascii="Arial" w:hAnsi="Arial" w:cs="Arial"/>
          <w:sz w:val="20"/>
          <w:szCs w:val="20"/>
        </w:rPr>
        <w:t>3-5</w:t>
      </w:r>
      <w:r w:rsidRPr="0016062A">
        <w:rPr>
          <w:rFonts w:ascii="Arial" w:hAnsi="Arial" w:cs="Arial"/>
          <w:sz w:val="20"/>
          <w:szCs w:val="20"/>
        </w:rPr>
        <w:t xml:space="preserve">). Zásadní roli v metabolismu obou hormonů hrají </w:t>
      </w:r>
      <w:proofErr w:type="spellStart"/>
      <w:r w:rsidRPr="0016062A">
        <w:rPr>
          <w:rFonts w:ascii="Arial" w:hAnsi="Arial" w:cs="Arial"/>
          <w:sz w:val="20"/>
          <w:szCs w:val="20"/>
        </w:rPr>
        <w:t>dejodázy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, jejichž přehled a funkce shrnuje </w:t>
      </w:r>
      <w:r w:rsidRPr="0016062A">
        <w:rPr>
          <w:rFonts w:ascii="Arial" w:hAnsi="Arial" w:cs="Arial"/>
          <w:i/>
          <w:iCs/>
          <w:sz w:val="20"/>
          <w:szCs w:val="20"/>
        </w:rPr>
        <w:t>Tab. 1</w:t>
      </w:r>
      <w:r w:rsidRPr="0016062A">
        <w:rPr>
          <w:rFonts w:ascii="Arial" w:hAnsi="Arial" w:cs="Arial"/>
          <w:sz w:val="20"/>
          <w:szCs w:val="20"/>
        </w:rPr>
        <w:t>.</w:t>
      </w:r>
    </w:p>
    <w:p w14:paraId="39F3D7C3" w14:textId="46DDC4F9" w:rsidR="004C1420" w:rsidRPr="0016062A" w:rsidRDefault="004C1420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16062A">
        <w:rPr>
          <w:rFonts w:ascii="Arial" w:hAnsi="Arial" w:cs="Arial"/>
          <w:sz w:val="20"/>
          <w:szCs w:val="20"/>
        </w:rPr>
        <w:t>Dejodáza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typu 1 (D1) je exprimována převážně v játrech a ledvinách, v menší míře pak ve štítné žláze (</w:t>
      </w:r>
      <w:r w:rsidR="00EE04C0" w:rsidRPr="0016062A">
        <w:rPr>
          <w:rFonts w:ascii="Arial" w:hAnsi="Arial" w:cs="Arial"/>
          <w:sz w:val="20"/>
          <w:szCs w:val="20"/>
        </w:rPr>
        <w:t>3</w:t>
      </w:r>
      <w:r w:rsidRPr="0016062A">
        <w:rPr>
          <w:rFonts w:ascii="Arial" w:hAnsi="Arial" w:cs="Arial"/>
          <w:sz w:val="20"/>
          <w:szCs w:val="20"/>
        </w:rPr>
        <w:t>). Její úloha je dvojí: podílí se na produkci cirkulujícího T3 (přibližně 24 %) a zachovává koncentraci jodidu odstraňováním jodu z neaktivních metabolitů T3 a T4 v játrech a ledvinách (</w:t>
      </w:r>
      <w:r w:rsidR="00EE04C0" w:rsidRPr="0016062A">
        <w:rPr>
          <w:rFonts w:ascii="Arial" w:hAnsi="Arial" w:cs="Arial"/>
          <w:sz w:val="20"/>
          <w:szCs w:val="20"/>
        </w:rPr>
        <w:t>4</w:t>
      </w:r>
      <w:r w:rsidRPr="0016062A">
        <w:rPr>
          <w:rFonts w:ascii="Arial" w:hAnsi="Arial" w:cs="Arial"/>
          <w:sz w:val="20"/>
          <w:szCs w:val="20"/>
        </w:rPr>
        <w:t>). Samotná koncentrace T3 následně reguluje expresi genu pro D1.</w:t>
      </w:r>
    </w:p>
    <w:p w14:paraId="5AA91F37" w14:textId="437C3846" w:rsidR="004C1420" w:rsidRPr="0016062A" w:rsidRDefault="004C1420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16062A">
        <w:rPr>
          <w:rFonts w:ascii="Arial" w:hAnsi="Arial" w:cs="Arial"/>
          <w:sz w:val="20"/>
          <w:szCs w:val="20"/>
        </w:rPr>
        <w:t>Dejodáza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typu 2 (D2) vykazuje aktivitu zejména v centrálním nervovém systému, hypofýze, štítné žláze, srdci, hnědé tukové tkáni a v kosterním svalstvu (</w:t>
      </w:r>
      <w:r w:rsidR="00EE04C0" w:rsidRPr="0016062A">
        <w:rPr>
          <w:rFonts w:ascii="Arial" w:hAnsi="Arial" w:cs="Arial"/>
          <w:sz w:val="20"/>
          <w:szCs w:val="20"/>
        </w:rPr>
        <w:t>6-8</w:t>
      </w:r>
      <w:r w:rsidRPr="0016062A">
        <w:rPr>
          <w:rFonts w:ascii="Arial" w:hAnsi="Arial" w:cs="Arial"/>
          <w:sz w:val="20"/>
          <w:szCs w:val="20"/>
        </w:rPr>
        <w:t>). Zajišťuje přeměnu T4 na T3, čímž vzniká přibližně 60</w:t>
      </w:r>
      <w:r w:rsidR="009C3490" w:rsidRPr="0016062A">
        <w:rPr>
          <w:rFonts w:ascii="Arial" w:hAnsi="Arial" w:cs="Arial"/>
          <w:sz w:val="20"/>
          <w:szCs w:val="20"/>
        </w:rPr>
        <w:t xml:space="preserve"> </w:t>
      </w:r>
      <w:r w:rsidRPr="0016062A">
        <w:rPr>
          <w:rFonts w:ascii="Arial" w:hAnsi="Arial" w:cs="Arial"/>
          <w:sz w:val="20"/>
          <w:szCs w:val="20"/>
        </w:rPr>
        <w:t>% cirkulujícího T3 (</w:t>
      </w:r>
      <w:r w:rsidR="00EE04C0" w:rsidRPr="0016062A">
        <w:rPr>
          <w:rFonts w:ascii="Arial" w:hAnsi="Arial" w:cs="Arial"/>
          <w:sz w:val="20"/>
          <w:szCs w:val="20"/>
        </w:rPr>
        <w:t>9-11</w:t>
      </w:r>
      <w:r w:rsidRPr="0016062A">
        <w:rPr>
          <w:rFonts w:ascii="Arial" w:hAnsi="Arial" w:cs="Arial"/>
          <w:sz w:val="20"/>
          <w:szCs w:val="20"/>
        </w:rPr>
        <w:t>).</w:t>
      </w:r>
    </w:p>
    <w:p w14:paraId="2553A37C" w14:textId="51D07706" w:rsidR="006D2CF8" w:rsidRPr="0016062A" w:rsidRDefault="004C1420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16062A">
        <w:rPr>
          <w:rFonts w:ascii="Arial" w:hAnsi="Arial" w:cs="Arial"/>
          <w:sz w:val="20"/>
          <w:szCs w:val="20"/>
        </w:rPr>
        <w:t>Dejodáza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typu 3 (D3) je exprimována především v mozku a kůži (</w:t>
      </w:r>
      <w:r w:rsidR="00EE04C0" w:rsidRPr="0016062A">
        <w:rPr>
          <w:rFonts w:ascii="Arial" w:hAnsi="Arial" w:cs="Arial"/>
          <w:sz w:val="20"/>
          <w:szCs w:val="20"/>
        </w:rPr>
        <w:t>12,13</w:t>
      </w:r>
      <w:r w:rsidRPr="0016062A">
        <w:rPr>
          <w:rFonts w:ascii="Arial" w:hAnsi="Arial" w:cs="Arial"/>
          <w:sz w:val="20"/>
          <w:szCs w:val="20"/>
        </w:rPr>
        <w:t>). Na rozdíl od předchozích typů má inaktivační charakter a katalyzuje přeměnu T3 na T2</w:t>
      </w:r>
      <w:r w:rsidR="00671F4D" w:rsidRPr="0016062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671F4D" w:rsidRPr="0016062A">
        <w:rPr>
          <w:rFonts w:ascii="Arial" w:hAnsi="Arial" w:cs="Arial"/>
          <w:sz w:val="20"/>
          <w:szCs w:val="20"/>
        </w:rPr>
        <w:t>dijodthyronin</w:t>
      </w:r>
      <w:proofErr w:type="spellEnd"/>
      <w:r w:rsidR="00671F4D" w:rsidRPr="0016062A">
        <w:rPr>
          <w:rFonts w:ascii="Arial" w:hAnsi="Arial" w:cs="Arial"/>
          <w:sz w:val="20"/>
          <w:szCs w:val="20"/>
        </w:rPr>
        <w:t>)</w:t>
      </w:r>
      <w:r w:rsidRPr="0016062A">
        <w:rPr>
          <w:rFonts w:ascii="Arial" w:hAnsi="Arial" w:cs="Arial"/>
          <w:sz w:val="20"/>
          <w:szCs w:val="20"/>
        </w:rPr>
        <w:t xml:space="preserve"> a T4 na reverzní T3 (rT3). Hlavní funkcí D3 je tedy degradace </w:t>
      </w:r>
      <w:r w:rsidR="00671F4D" w:rsidRPr="0016062A">
        <w:rPr>
          <w:rFonts w:ascii="Arial" w:hAnsi="Arial" w:cs="Arial"/>
          <w:sz w:val="20"/>
          <w:szCs w:val="20"/>
        </w:rPr>
        <w:t>T3</w:t>
      </w:r>
      <w:r w:rsidRPr="0016062A">
        <w:rPr>
          <w:rFonts w:ascii="Arial" w:hAnsi="Arial" w:cs="Arial"/>
          <w:sz w:val="20"/>
          <w:szCs w:val="20"/>
        </w:rPr>
        <w:t>.</w:t>
      </w:r>
    </w:p>
    <w:p w14:paraId="5763D96B" w14:textId="77777777" w:rsidR="00663ED2" w:rsidRPr="0016062A" w:rsidRDefault="00663ED2" w:rsidP="00A944EE"/>
    <w:p w14:paraId="2C98BE9B" w14:textId="77777777" w:rsidR="00663ED2" w:rsidRPr="0016062A" w:rsidRDefault="00663ED2" w:rsidP="00A944E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 xml:space="preserve">Dávkování a dostupné lékové formy </w:t>
      </w:r>
    </w:p>
    <w:p w14:paraId="7AD506E3" w14:textId="27098579" w:rsidR="00663ED2" w:rsidRPr="0016062A" w:rsidRDefault="00663ED2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 xml:space="preserve">Cílem kombinované terapie je napodobit fyziologický stav. Doporučuje se podávání obou hormonů v samostatných tabletách, neboť fixní komerční kombinace </w:t>
      </w:r>
      <w:r w:rsidR="00671F4D" w:rsidRPr="0016062A">
        <w:rPr>
          <w:rFonts w:ascii="Arial" w:hAnsi="Arial" w:cs="Arial"/>
          <w:sz w:val="20"/>
          <w:szCs w:val="20"/>
        </w:rPr>
        <w:t>LT4/LT3</w:t>
      </w:r>
      <w:r w:rsidRPr="0016062A">
        <w:rPr>
          <w:rFonts w:ascii="Arial" w:hAnsi="Arial" w:cs="Arial"/>
          <w:sz w:val="20"/>
          <w:szCs w:val="20"/>
        </w:rPr>
        <w:t xml:space="preserve"> často obsahují suprafyziologické dávky T3, což zvyšuje riziko subklinické i manifestní hypertyreózy (14). </w:t>
      </w:r>
    </w:p>
    <w:p w14:paraId="597636B6" w14:textId="57C0546A" w:rsidR="00663ED2" w:rsidRPr="0016062A" w:rsidRDefault="00663ED2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 xml:space="preserve">Liothyronin je k dispozici v tabletách o obsahu </w:t>
      </w:r>
      <w:r w:rsidR="00120F50" w:rsidRPr="0016062A">
        <w:rPr>
          <w:rFonts w:ascii="Arial" w:hAnsi="Arial" w:cs="Arial"/>
          <w:sz w:val="20"/>
          <w:szCs w:val="20"/>
        </w:rPr>
        <w:t>2</w:t>
      </w:r>
      <w:r w:rsidRPr="0016062A">
        <w:rPr>
          <w:rFonts w:ascii="Arial" w:hAnsi="Arial" w:cs="Arial"/>
          <w:sz w:val="20"/>
          <w:szCs w:val="20"/>
        </w:rPr>
        <w:t>5</w:t>
      </w:r>
      <w:r w:rsidR="009C169A" w:rsidRPr="001606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169A" w:rsidRPr="0016062A">
        <w:rPr>
          <w:rFonts w:ascii="Arial" w:hAnsi="Arial" w:cs="Arial"/>
          <w:sz w:val="20"/>
          <w:szCs w:val="20"/>
        </w:rPr>
        <w:t>mcg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a</w:t>
      </w:r>
      <w:r w:rsidR="009C169A" w:rsidRPr="0016062A">
        <w:rPr>
          <w:rFonts w:ascii="Arial" w:hAnsi="Arial" w:cs="Arial"/>
          <w:sz w:val="20"/>
          <w:szCs w:val="20"/>
        </w:rPr>
        <w:t xml:space="preserve"> v některých zemích </w:t>
      </w:r>
      <w:r w:rsidRPr="0016062A">
        <w:rPr>
          <w:rFonts w:ascii="Arial" w:hAnsi="Arial" w:cs="Arial"/>
          <w:sz w:val="20"/>
          <w:szCs w:val="20"/>
        </w:rPr>
        <w:t xml:space="preserve">5 </w:t>
      </w:r>
      <w:proofErr w:type="spellStart"/>
      <w:r w:rsidRPr="0016062A">
        <w:rPr>
          <w:rFonts w:ascii="Arial" w:hAnsi="Arial" w:cs="Arial"/>
          <w:sz w:val="20"/>
          <w:szCs w:val="20"/>
        </w:rPr>
        <w:t>mcg</w:t>
      </w:r>
      <w:proofErr w:type="spellEnd"/>
      <w:r w:rsidR="00120F50" w:rsidRPr="0016062A">
        <w:rPr>
          <w:rFonts w:ascii="Arial" w:hAnsi="Arial" w:cs="Arial"/>
          <w:sz w:val="20"/>
          <w:szCs w:val="20"/>
        </w:rPr>
        <w:t xml:space="preserve"> (přípravek, který byl v ČR donedávna dostupný v rámc</w:t>
      </w:r>
      <w:r w:rsidR="009C169A" w:rsidRPr="0016062A">
        <w:rPr>
          <w:rFonts w:ascii="Arial" w:hAnsi="Arial" w:cs="Arial"/>
          <w:sz w:val="20"/>
          <w:szCs w:val="20"/>
        </w:rPr>
        <w:t>i</w:t>
      </w:r>
      <w:r w:rsidR="00120F50" w:rsidRPr="0016062A">
        <w:rPr>
          <w:rFonts w:ascii="Arial" w:hAnsi="Arial" w:cs="Arial"/>
          <w:sz w:val="20"/>
          <w:szCs w:val="20"/>
        </w:rPr>
        <w:t xml:space="preserve"> specifického léčebného programu měl sílu</w:t>
      </w:r>
      <w:r w:rsidR="009C169A" w:rsidRPr="0016062A">
        <w:rPr>
          <w:rFonts w:ascii="Arial" w:hAnsi="Arial" w:cs="Arial"/>
          <w:sz w:val="20"/>
          <w:szCs w:val="20"/>
        </w:rPr>
        <w:t xml:space="preserve"> </w:t>
      </w:r>
      <w:r w:rsidR="00120F50" w:rsidRPr="0016062A">
        <w:rPr>
          <w:rFonts w:ascii="Arial" w:hAnsi="Arial" w:cs="Arial"/>
          <w:sz w:val="20"/>
          <w:szCs w:val="20"/>
        </w:rPr>
        <w:t xml:space="preserve">25 </w:t>
      </w:r>
      <w:proofErr w:type="spellStart"/>
      <w:r w:rsidR="00120F50" w:rsidRPr="0016062A">
        <w:rPr>
          <w:rFonts w:ascii="Arial" w:hAnsi="Arial" w:cs="Arial"/>
          <w:sz w:val="20"/>
          <w:szCs w:val="20"/>
        </w:rPr>
        <w:t>mcg</w:t>
      </w:r>
      <w:proofErr w:type="spellEnd"/>
      <w:r w:rsidR="00120F50" w:rsidRPr="0016062A">
        <w:rPr>
          <w:rFonts w:ascii="Arial" w:hAnsi="Arial" w:cs="Arial"/>
          <w:sz w:val="20"/>
          <w:szCs w:val="20"/>
        </w:rPr>
        <w:t>)</w:t>
      </w:r>
      <w:r w:rsidR="009C169A" w:rsidRPr="0016062A">
        <w:rPr>
          <w:rFonts w:ascii="Arial" w:hAnsi="Arial" w:cs="Arial"/>
          <w:sz w:val="20"/>
          <w:szCs w:val="20"/>
        </w:rPr>
        <w:t>. P</w:t>
      </w:r>
      <w:r w:rsidRPr="0016062A">
        <w:rPr>
          <w:rFonts w:ascii="Arial" w:hAnsi="Arial" w:cs="Arial"/>
          <w:sz w:val="20"/>
          <w:szCs w:val="20"/>
        </w:rPr>
        <w:t xml:space="preserve">ři dělení tablet lze tedy dosáhnout ještě dávek 2,5, 5, 7,5, 10 a 12,5 </w:t>
      </w:r>
      <w:proofErr w:type="spellStart"/>
      <w:r w:rsidRPr="0016062A">
        <w:rPr>
          <w:rFonts w:ascii="Arial" w:hAnsi="Arial" w:cs="Arial"/>
          <w:sz w:val="20"/>
          <w:szCs w:val="20"/>
        </w:rPr>
        <w:t>mcg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(14). Celková denní dávka T3 by </w:t>
      </w:r>
      <w:r w:rsidRPr="0016062A">
        <w:rPr>
          <w:rFonts w:ascii="Arial" w:hAnsi="Arial" w:cs="Arial"/>
          <w:sz w:val="20"/>
          <w:szCs w:val="20"/>
        </w:rPr>
        <w:lastRenderedPageBreak/>
        <w:t xml:space="preserve">měla být rozdělena </w:t>
      </w:r>
      <w:r w:rsidR="00941AFC" w:rsidRPr="0016062A">
        <w:rPr>
          <w:rFonts w:ascii="Arial" w:hAnsi="Arial" w:cs="Arial"/>
          <w:sz w:val="20"/>
          <w:szCs w:val="20"/>
        </w:rPr>
        <w:t>na 2-3 dávky</w:t>
      </w:r>
      <w:r w:rsidRPr="0016062A">
        <w:rPr>
          <w:rFonts w:ascii="Arial" w:hAnsi="Arial" w:cs="Arial"/>
          <w:sz w:val="20"/>
          <w:szCs w:val="20"/>
        </w:rPr>
        <w:t xml:space="preserve">, aby se předešlo </w:t>
      </w:r>
      <w:proofErr w:type="spellStart"/>
      <w:r w:rsidRPr="0016062A">
        <w:rPr>
          <w:rFonts w:ascii="Arial" w:hAnsi="Arial" w:cs="Arial"/>
          <w:sz w:val="20"/>
          <w:szCs w:val="20"/>
        </w:rPr>
        <w:t>suprafyziologickým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vrcholům sérových koncentrací T3, které se mohou objevit 3-4 hodiny po jednorázovém užití plné dávky. Výpočet optimální dávky vychází z faktu, že T3 vykazuje 3–4krát vyšší metabolickou aktivitu než T4 (14). Cílem je dosáhnout fyziologického poměru T4:T3 v rozmezí 13:1 až 16:1 </w:t>
      </w:r>
      <w:r w:rsidR="00652870" w:rsidRPr="0016062A">
        <w:rPr>
          <w:rFonts w:ascii="Arial" w:hAnsi="Arial" w:cs="Arial"/>
          <w:sz w:val="20"/>
          <w:szCs w:val="20"/>
        </w:rPr>
        <w:t>(15)</w:t>
      </w:r>
      <w:r w:rsidRPr="0016062A">
        <w:rPr>
          <w:rFonts w:ascii="Arial" w:hAnsi="Arial" w:cs="Arial"/>
          <w:sz w:val="20"/>
          <w:szCs w:val="20"/>
        </w:rPr>
        <w:t xml:space="preserve">. </w:t>
      </w:r>
    </w:p>
    <w:p w14:paraId="6B9A53A3" w14:textId="37EE21EC" w:rsidR="007A2FB7" w:rsidRPr="0016062A" w:rsidRDefault="00663ED2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Současné formy kombinace LT4 a LT3 narážejí na farmakokinetické limity</w:t>
      </w:r>
      <w:r w:rsidR="00833360" w:rsidRPr="0016062A">
        <w:rPr>
          <w:rFonts w:ascii="Arial" w:hAnsi="Arial" w:cs="Arial"/>
          <w:sz w:val="20"/>
          <w:szCs w:val="20"/>
        </w:rPr>
        <w:t>.</w:t>
      </w:r>
      <w:r w:rsidRPr="0016062A">
        <w:rPr>
          <w:rFonts w:ascii="Arial" w:hAnsi="Arial" w:cs="Arial"/>
          <w:sz w:val="20"/>
          <w:szCs w:val="20"/>
        </w:rPr>
        <w:t xml:space="preserve"> LT3 se rychle vstřebává a má krátký biologický poločas (cca 24 hodin), což vede k nežádoucím nefyziologickým vrcholům sérové koncentrace T3</w:t>
      </w:r>
      <w:r w:rsidR="001D70E1" w:rsidRPr="0016062A">
        <w:rPr>
          <w:rFonts w:ascii="Arial" w:hAnsi="Arial" w:cs="Arial"/>
          <w:sz w:val="20"/>
          <w:szCs w:val="20"/>
        </w:rPr>
        <w:t xml:space="preserve"> </w:t>
      </w:r>
      <w:r w:rsidR="001D70E1" w:rsidRPr="0016062A">
        <w:rPr>
          <w:rFonts w:ascii="Arial" w:hAnsi="Arial" w:cs="Arial"/>
          <w:i/>
          <w:iCs/>
          <w:sz w:val="20"/>
          <w:szCs w:val="20"/>
        </w:rPr>
        <w:t>(Obr 1)</w:t>
      </w:r>
      <w:r w:rsidRPr="0016062A">
        <w:rPr>
          <w:rFonts w:ascii="Arial" w:hAnsi="Arial" w:cs="Arial"/>
          <w:sz w:val="20"/>
          <w:szCs w:val="20"/>
        </w:rPr>
        <w:t xml:space="preserve"> (</w:t>
      </w:r>
      <w:r w:rsidR="00652870" w:rsidRPr="0016062A">
        <w:rPr>
          <w:rFonts w:ascii="Arial" w:hAnsi="Arial" w:cs="Arial"/>
          <w:sz w:val="20"/>
          <w:szCs w:val="20"/>
        </w:rPr>
        <w:t>16</w:t>
      </w:r>
      <w:r w:rsidRPr="0016062A">
        <w:rPr>
          <w:rFonts w:ascii="Arial" w:hAnsi="Arial" w:cs="Arial"/>
          <w:sz w:val="20"/>
          <w:szCs w:val="20"/>
        </w:rPr>
        <w:t>). Východiskem by mohly být přípravky s prodlouženým uvolňováním LT3 v přesně definovaném poměru k LT4 (</w:t>
      </w:r>
      <w:r w:rsidR="00652870" w:rsidRPr="0016062A">
        <w:rPr>
          <w:rFonts w:ascii="Arial" w:hAnsi="Arial" w:cs="Arial"/>
          <w:sz w:val="20"/>
          <w:szCs w:val="20"/>
        </w:rPr>
        <w:t>17</w:t>
      </w:r>
      <w:r w:rsidRPr="0016062A">
        <w:rPr>
          <w:rFonts w:ascii="Arial" w:hAnsi="Arial" w:cs="Arial"/>
          <w:sz w:val="20"/>
          <w:szCs w:val="20"/>
        </w:rPr>
        <w:t xml:space="preserve">). Dosavadní studie s retardovanými formami LT4/LT3 však zatím nepotvrdily významný klinický přínos, případně vykázaly pouze minimální vliv na parametry </w:t>
      </w:r>
      <w:proofErr w:type="spellStart"/>
      <w:r w:rsidRPr="0016062A">
        <w:rPr>
          <w:rFonts w:ascii="Arial" w:hAnsi="Arial" w:cs="Arial"/>
          <w:sz w:val="20"/>
          <w:szCs w:val="20"/>
        </w:rPr>
        <w:t>c</w:t>
      </w:r>
      <w:r w:rsidRPr="0016062A">
        <w:rPr>
          <w:rFonts w:ascii="Arial" w:hAnsi="Arial" w:cs="Arial"/>
          <w:sz w:val="20"/>
          <w:szCs w:val="20"/>
          <w:vertAlign w:val="subscript"/>
        </w:rPr>
        <w:t>max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(maximální plazmatickou koncentraci) a </w:t>
      </w:r>
      <w:proofErr w:type="spellStart"/>
      <w:r w:rsidRPr="0016062A">
        <w:rPr>
          <w:rFonts w:ascii="Arial" w:hAnsi="Arial" w:cs="Arial"/>
          <w:sz w:val="20"/>
          <w:szCs w:val="20"/>
        </w:rPr>
        <w:t>t</w:t>
      </w:r>
      <w:r w:rsidRPr="0016062A">
        <w:rPr>
          <w:rFonts w:ascii="Arial" w:hAnsi="Arial" w:cs="Arial"/>
          <w:sz w:val="20"/>
          <w:szCs w:val="20"/>
          <w:vertAlign w:val="subscript"/>
        </w:rPr>
        <w:t>max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(čas do maximální koncentrace)</w:t>
      </w:r>
      <w:r w:rsidR="00652870" w:rsidRPr="0016062A">
        <w:rPr>
          <w:rFonts w:ascii="Arial" w:hAnsi="Arial" w:cs="Arial"/>
          <w:sz w:val="20"/>
          <w:szCs w:val="20"/>
        </w:rPr>
        <w:t xml:space="preserve"> (18)</w:t>
      </w:r>
      <w:r w:rsidRPr="0016062A">
        <w:rPr>
          <w:rFonts w:ascii="Arial" w:hAnsi="Arial" w:cs="Arial"/>
          <w:sz w:val="20"/>
          <w:szCs w:val="20"/>
        </w:rPr>
        <w:t>. </w:t>
      </w:r>
      <w:r w:rsidR="007A2FB7" w:rsidRPr="0016062A">
        <w:rPr>
          <w:rFonts w:ascii="Arial" w:hAnsi="Arial" w:cs="Arial"/>
          <w:sz w:val="20"/>
          <w:szCs w:val="20"/>
        </w:rPr>
        <w:t>Nicméně klinické studie s dalšími preparáty probíhají (19).</w:t>
      </w:r>
    </w:p>
    <w:p w14:paraId="4AB5944E" w14:textId="77777777" w:rsidR="004C1420" w:rsidRPr="0016062A" w:rsidRDefault="004C1420" w:rsidP="00A944EE">
      <w:pPr>
        <w:spacing w:after="0"/>
        <w:rPr>
          <w:rFonts w:ascii="Arial" w:hAnsi="Arial" w:cs="Arial"/>
          <w:sz w:val="20"/>
          <w:szCs w:val="20"/>
        </w:rPr>
      </w:pPr>
    </w:p>
    <w:p w14:paraId="30E32731" w14:textId="77777777" w:rsidR="004C1420" w:rsidRPr="0016062A" w:rsidRDefault="004C1420" w:rsidP="00A944EE">
      <w:pPr>
        <w:spacing w:after="0"/>
        <w:rPr>
          <w:rFonts w:ascii="Arial" w:hAnsi="Arial" w:cs="Arial"/>
          <w:sz w:val="20"/>
          <w:szCs w:val="20"/>
        </w:rPr>
      </w:pPr>
    </w:p>
    <w:p w14:paraId="79C0BA5A" w14:textId="776CD192" w:rsidR="006D2CF8" w:rsidRPr="0016062A" w:rsidRDefault="00B3446B" w:rsidP="00A944E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>Monoterapie LT4 versus kombinovaná terapie LT4/LT3</w:t>
      </w:r>
    </w:p>
    <w:p w14:paraId="73E19083" w14:textId="77777777" w:rsidR="006D2CF8" w:rsidRPr="0016062A" w:rsidRDefault="006D2CF8" w:rsidP="00A944EE">
      <w:pPr>
        <w:spacing w:after="0"/>
        <w:rPr>
          <w:rFonts w:ascii="Arial" w:hAnsi="Arial" w:cs="Arial"/>
          <w:sz w:val="20"/>
          <w:szCs w:val="20"/>
        </w:rPr>
      </w:pPr>
    </w:p>
    <w:p w14:paraId="080502CC" w14:textId="198E532D" w:rsidR="0002533F" w:rsidRPr="0016062A" w:rsidRDefault="00D30F85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Některé práce se</w:t>
      </w:r>
      <w:r w:rsidR="00B3446B" w:rsidRPr="0016062A">
        <w:rPr>
          <w:rFonts w:ascii="Arial" w:hAnsi="Arial" w:cs="Arial"/>
          <w:sz w:val="20"/>
          <w:szCs w:val="20"/>
        </w:rPr>
        <w:t xml:space="preserve"> </w:t>
      </w:r>
      <w:r w:rsidR="00230FA0" w:rsidRPr="0016062A">
        <w:rPr>
          <w:rFonts w:ascii="Arial" w:hAnsi="Arial" w:cs="Arial"/>
          <w:sz w:val="20"/>
          <w:szCs w:val="20"/>
        </w:rPr>
        <w:t xml:space="preserve">zabývají možností kombinované léčby u pacientů léčených LT4 s normální hladinou </w:t>
      </w:r>
      <w:r w:rsidR="007909C7" w:rsidRPr="0016062A">
        <w:rPr>
          <w:rFonts w:ascii="Arial" w:hAnsi="Arial" w:cs="Arial"/>
          <w:sz w:val="20"/>
          <w:szCs w:val="20"/>
        </w:rPr>
        <w:t>TSH (tyreoideu</w:t>
      </w:r>
      <w:r w:rsidR="003D1492" w:rsidRPr="0016062A">
        <w:rPr>
          <w:rFonts w:ascii="Arial" w:hAnsi="Arial" w:cs="Arial"/>
          <w:sz w:val="20"/>
          <w:szCs w:val="20"/>
        </w:rPr>
        <w:t xml:space="preserve"> stimulující hormon)</w:t>
      </w:r>
      <w:r w:rsidR="00584399" w:rsidRPr="0016062A">
        <w:rPr>
          <w:rFonts w:ascii="Arial" w:hAnsi="Arial" w:cs="Arial"/>
          <w:sz w:val="20"/>
          <w:szCs w:val="20"/>
        </w:rPr>
        <w:t xml:space="preserve">, ale </w:t>
      </w:r>
      <w:r w:rsidR="003D1492" w:rsidRPr="0016062A">
        <w:rPr>
          <w:rFonts w:ascii="Arial" w:hAnsi="Arial" w:cs="Arial"/>
          <w:sz w:val="20"/>
          <w:szCs w:val="20"/>
        </w:rPr>
        <w:t>s přetrvávajícími obtížemi</w:t>
      </w:r>
      <w:r w:rsidR="001F11EF" w:rsidRPr="0016062A">
        <w:rPr>
          <w:rFonts w:ascii="Arial" w:hAnsi="Arial" w:cs="Arial"/>
          <w:sz w:val="20"/>
          <w:szCs w:val="20"/>
        </w:rPr>
        <w:t xml:space="preserve"> charakteru únavy</w:t>
      </w:r>
      <w:r w:rsidR="00584399" w:rsidRPr="0016062A">
        <w:rPr>
          <w:rFonts w:ascii="Arial" w:hAnsi="Arial" w:cs="Arial"/>
          <w:sz w:val="20"/>
          <w:szCs w:val="20"/>
        </w:rPr>
        <w:t xml:space="preserve"> a</w:t>
      </w:r>
      <w:r w:rsidR="001F11EF" w:rsidRPr="0016062A">
        <w:rPr>
          <w:rFonts w:ascii="Arial" w:hAnsi="Arial" w:cs="Arial"/>
          <w:sz w:val="20"/>
          <w:szCs w:val="20"/>
        </w:rPr>
        <w:t xml:space="preserve"> poruchy kognitivních funkcí</w:t>
      </w:r>
      <w:r w:rsidR="00602F42" w:rsidRPr="0016062A">
        <w:rPr>
          <w:rFonts w:ascii="Arial" w:hAnsi="Arial" w:cs="Arial"/>
          <w:sz w:val="20"/>
          <w:szCs w:val="20"/>
        </w:rPr>
        <w:t xml:space="preserve"> (</w:t>
      </w:r>
      <w:r w:rsidR="00D01448" w:rsidRPr="0016062A">
        <w:rPr>
          <w:rFonts w:ascii="Arial" w:hAnsi="Arial" w:cs="Arial"/>
          <w:sz w:val="20"/>
          <w:szCs w:val="20"/>
        </w:rPr>
        <w:t>20, 21</w:t>
      </w:r>
      <w:r w:rsidR="00602F42" w:rsidRPr="0016062A">
        <w:rPr>
          <w:rFonts w:ascii="Arial" w:hAnsi="Arial" w:cs="Arial"/>
          <w:sz w:val="20"/>
          <w:szCs w:val="20"/>
        </w:rPr>
        <w:t>)</w:t>
      </w:r>
      <w:r w:rsidR="001F11EF" w:rsidRPr="0016062A">
        <w:rPr>
          <w:rFonts w:ascii="Arial" w:hAnsi="Arial" w:cs="Arial"/>
          <w:sz w:val="20"/>
          <w:szCs w:val="20"/>
        </w:rPr>
        <w:t>.</w:t>
      </w:r>
      <w:r w:rsidR="00060B85" w:rsidRPr="0016062A">
        <w:rPr>
          <w:rFonts w:ascii="Arial" w:hAnsi="Arial" w:cs="Arial"/>
          <w:sz w:val="20"/>
          <w:szCs w:val="20"/>
        </w:rPr>
        <w:t xml:space="preserve"> Těchto pacientů</w:t>
      </w:r>
      <w:r w:rsidR="00003172" w:rsidRPr="0016062A">
        <w:rPr>
          <w:rFonts w:ascii="Arial" w:hAnsi="Arial" w:cs="Arial"/>
          <w:sz w:val="20"/>
          <w:szCs w:val="20"/>
        </w:rPr>
        <w:t xml:space="preserve"> může být až</w:t>
      </w:r>
      <w:r w:rsidR="00602F42" w:rsidRPr="0016062A">
        <w:rPr>
          <w:rFonts w:ascii="Arial" w:hAnsi="Arial" w:cs="Arial"/>
          <w:sz w:val="20"/>
          <w:szCs w:val="20"/>
        </w:rPr>
        <w:t xml:space="preserve"> 10-15</w:t>
      </w:r>
      <w:r w:rsidR="00003172" w:rsidRPr="0016062A">
        <w:rPr>
          <w:rFonts w:ascii="Arial" w:hAnsi="Arial" w:cs="Arial"/>
          <w:sz w:val="20"/>
          <w:szCs w:val="20"/>
        </w:rPr>
        <w:t xml:space="preserve"> </w:t>
      </w:r>
      <w:r w:rsidR="00602F42" w:rsidRPr="0016062A">
        <w:rPr>
          <w:rFonts w:ascii="Arial" w:hAnsi="Arial" w:cs="Arial"/>
          <w:sz w:val="20"/>
          <w:szCs w:val="20"/>
        </w:rPr>
        <w:t>% (</w:t>
      </w:r>
      <w:r w:rsidR="00D01448" w:rsidRPr="0016062A">
        <w:rPr>
          <w:rFonts w:ascii="Arial" w:hAnsi="Arial" w:cs="Arial"/>
          <w:sz w:val="20"/>
          <w:szCs w:val="20"/>
        </w:rPr>
        <w:t>22, 23</w:t>
      </w:r>
      <w:r w:rsidR="00602F42" w:rsidRPr="0016062A">
        <w:rPr>
          <w:rFonts w:ascii="Arial" w:hAnsi="Arial" w:cs="Arial"/>
          <w:sz w:val="20"/>
          <w:szCs w:val="20"/>
        </w:rPr>
        <w:t>).</w:t>
      </w:r>
      <w:r w:rsidR="00B3446B" w:rsidRPr="0016062A">
        <w:rPr>
          <w:rFonts w:ascii="Arial" w:hAnsi="Arial" w:cs="Arial"/>
          <w:sz w:val="20"/>
          <w:szCs w:val="20"/>
        </w:rPr>
        <w:t xml:space="preserve"> Kauzální souvislost těchto symptomů s tyreoidální substitucí je však obtížně </w:t>
      </w:r>
      <w:proofErr w:type="spellStart"/>
      <w:r w:rsidR="00B3446B" w:rsidRPr="0016062A">
        <w:rPr>
          <w:rFonts w:ascii="Arial" w:hAnsi="Arial" w:cs="Arial"/>
          <w:sz w:val="20"/>
          <w:szCs w:val="20"/>
        </w:rPr>
        <w:t>objektivizovatelná</w:t>
      </w:r>
      <w:proofErr w:type="spellEnd"/>
      <w:r w:rsidR="00B3446B" w:rsidRPr="0016062A">
        <w:rPr>
          <w:rFonts w:ascii="Arial" w:hAnsi="Arial" w:cs="Arial"/>
          <w:sz w:val="20"/>
          <w:szCs w:val="20"/>
        </w:rPr>
        <w:t>.</w:t>
      </w:r>
      <w:r w:rsidR="004E5F2E" w:rsidRPr="0016062A">
        <w:rPr>
          <w:rFonts w:ascii="Arial" w:hAnsi="Arial" w:cs="Arial"/>
          <w:sz w:val="20"/>
          <w:szCs w:val="20"/>
        </w:rPr>
        <w:t xml:space="preserve"> </w:t>
      </w:r>
      <w:r w:rsidR="00023E7B" w:rsidRPr="0016062A">
        <w:rPr>
          <w:rFonts w:ascii="Arial" w:hAnsi="Arial" w:cs="Arial"/>
          <w:sz w:val="20"/>
          <w:szCs w:val="20"/>
        </w:rPr>
        <w:t xml:space="preserve">Předpokládá se, že důvodem přetrvávajících obtíží </w:t>
      </w:r>
      <w:r w:rsidR="0011605A" w:rsidRPr="0016062A">
        <w:rPr>
          <w:rFonts w:ascii="Arial" w:hAnsi="Arial" w:cs="Arial"/>
          <w:sz w:val="20"/>
          <w:szCs w:val="20"/>
        </w:rPr>
        <w:t xml:space="preserve">by mohla být snížená hladina T3 způsobená inhibicí </w:t>
      </w:r>
      <w:proofErr w:type="spellStart"/>
      <w:r w:rsidR="0011605A" w:rsidRPr="0016062A">
        <w:rPr>
          <w:rFonts w:ascii="Arial" w:hAnsi="Arial" w:cs="Arial"/>
          <w:sz w:val="20"/>
          <w:szCs w:val="20"/>
        </w:rPr>
        <w:t>dejodázy</w:t>
      </w:r>
      <w:proofErr w:type="spellEnd"/>
      <w:r w:rsidR="0011605A" w:rsidRPr="0016062A">
        <w:rPr>
          <w:rFonts w:ascii="Arial" w:hAnsi="Arial" w:cs="Arial"/>
          <w:sz w:val="20"/>
          <w:szCs w:val="20"/>
        </w:rPr>
        <w:t xml:space="preserve"> </w:t>
      </w:r>
      <w:r w:rsidR="00A63B8E" w:rsidRPr="0016062A">
        <w:rPr>
          <w:rFonts w:ascii="Arial" w:hAnsi="Arial" w:cs="Arial"/>
          <w:sz w:val="20"/>
          <w:szCs w:val="20"/>
        </w:rPr>
        <w:t xml:space="preserve">při terapii </w:t>
      </w:r>
      <w:proofErr w:type="spellStart"/>
      <w:r w:rsidR="00A63B8E" w:rsidRPr="0016062A">
        <w:rPr>
          <w:rFonts w:ascii="Arial" w:hAnsi="Arial" w:cs="Arial"/>
          <w:sz w:val="20"/>
          <w:szCs w:val="20"/>
        </w:rPr>
        <w:t>levotyroxinem</w:t>
      </w:r>
      <w:proofErr w:type="spellEnd"/>
      <w:r w:rsidR="00A63B8E" w:rsidRPr="0016062A">
        <w:rPr>
          <w:rFonts w:ascii="Arial" w:hAnsi="Arial" w:cs="Arial"/>
          <w:sz w:val="20"/>
          <w:szCs w:val="20"/>
        </w:rPr>
        <w:t xml:space="preserve"> (</w:t>
      </w:r>
      <w:r w:rsidR="00D01448" w:rsidRPr="0016062A">
        <w:rPr>
          <w:rFonts w:ascii="Arial" w:hAnsi="Arial" w:cs="Arial"/>
          <w:sz w:val="20"/>
          <w:szCs w:val="20"/>
        </w:rPr>
        <w:t>24</w:t>
      </w:r>
      <w:r w:rsidR="00A63B8E" w:rsidRPr="0016062A">
        <w:rPr>
          <w:rFonts w:ascii="Arial" w:hAnsi="Arial" w:cs="Arial"/>
          <w:sz w:val="20"/>
          <w:szCs w:val="20"/>
        </w:rPr>
        <w:t>).</w:t>
      </w:r>
      <w:r w:rsidR="00D514F0" w:rsidRPr="0016062A">
        <w:rPr>
          <w:rFonts w:ascii="Arial" w:hAnsi="Arial" w:cs="Arial"/>
          <w:sz w:val="20"/>
          <w:szCs w:val="20"/>
        </w:rPr>
        <w:t xml:space="preserve"> </w:t>
      </w:r>
      <w:r w:rsidR="0002533F" w:rsidRPr="0016062A">
        <w:rPr>
          <w:rFonts w:ascii="Arial" w:hAnsi="Arial" w:cs="Arial"/>
          <w:sz w:val="20"/>
          <w:szCs w:val="20"/>
        </w:rPr>
        <w:t xml:space="preserve">Některé práce zkoumaly možný přínos kombinované terapie u pacientů s polymorfismem </w:t>
      </w:r>
      <w:proofErr w:type="spellStart"/>
      <w:r w:rsidR="0002533F" w:rsidRPr="0016062A">
        <w:rPr>
          <w:rFonts w:ascii="Arial" w:hAnsi="Arial" w:cs="Arial"/>
          <w:sz w:val="20"/>
          <w:szCs w:val="20"/>
        </w:rPr>
        <w:t>dejodázy</w:t>
      </w:r>
      <w:proofErr w:type="spellEnd"/>
      <w:r w:rsidR="0002533F" w:rsidRPr="0016062A">
        <w:rPr>
          <w:rFonts w:ascii="Arial" w:hAnsi="Arial" w:cs="Arial"/>
          <w:sz w:val="20"/>
          <w:szCs w:val="20"/>
        </w:rPr>
        <w:t xml:space="preserve"> 2, ale výsledky byly </w:t>
      </w:r>
      <w:r w:rsidR="000256D0" w:rsidRPr="0016062A">
        <w:rPr>
          <w:rFonts w:ascii="Arial" w:hAnsi="Arial" w:cs="Arial"/>
          <w:sz w:val="20"/>
          <w:szCs w:val="20"/>
        </w:rPr>
        <w:t>rozporuplné,</w:t>
      </w:r>
      <w:r w:rsidR="0002533F" w:rsidRPr="0016062A">
        <w:rPr>
          <w:rFonts w:ascii="Arial" w:hAnsi="Arial" w:cs="Arial"/>
          <w:sz w:val="20"/>
          <w:szCs w:val="20"/>
        </w:rPr>
        <w:t xml:space="preserve"> a i když některé studie svědčily v prospěch (</w:t>
      </w:r>
      <w:r w:rsidR="00D01448" w:rsidRPr="0016062A">
        <w:rPr>
          <w:rFonts w:ascii="Arial" w:hAnsi="Arial" w:cs="Arial"/>
          <w:sz w:val="20"/>
          <w:szCs w:val="20"/>
        </w:rPr>
        <w:t>25, 26</w:t>
      </w:r>
      <w:r w:rsidR="0002533F" w:rsidRPr="0016062A">
        <w:rPr>
          <w:rFonts w:ascii="Arial" w:hAnsi="Arial" w:cs="Arial"/>
          <w:sz w:val="20"/>
          <w:szCs w:val="20"/>
        </w:rPr>
        <w:t>), jiné ho neprokázaly (</w:t>
      </w:r>
      <w:r w:rsidR="00D01448" w:rsidRPr="0016062A">
        <w:rPr>
          <w:rFonts w:ascii="Arial" w:hAnsi="Arial" w:cs="Arial"/>
          <w:sz w:val="20"/>
          <w:szCs w:val="20"/>
        </w:rPr>
        <w:t>27, 28</w:t>
      </w:r>
      <w:r w:rsidR="0002533F" w:rsidRPr="0016062A">
        <w:rPr>
          <w:rFonts w:ascii="Arial" w:hAnsi="Arial" w:cs="Arial"/>
          <w:sz w:val="20"/>
          <w:szCs w:val="20"/>
        </w:rPr>
        <w:t>).</w:t>
      </w:r>
    </w:p>
    <w:p w14:paraId="7D340B61" w14:textId="4187B026" w:rsidR="006F678B" w:rsidRPr="0016062A" w:rsidRDefault="000C2523" w:rsidP="00A944EE">
      <w:pPr>
        <w:spacing w:after="0" w:line="360" w:lineRule="auto"/>
      </w:pPr>
      <w:r w:rsidRPr="0016062A">
        <w:rPr>
          <w:rFonts w:ascii="Arial" w:hAnsi="Arial" w:cs="Arial"/>
          <w:sz w:val="20"/>
          <w:szCs w:val="20"/>
        </w:rPr>
        <w:t xml:space="preserve">Jak již bylo uvedeno výše, zásadním limitem pro podávání LT3 zůstává jeho nepříznivý farmakokinetický profil charakterizovaný podstatným kolísáním koncentrací T3 v průběhu dne. Ve srovnání s </w:t>
      </w:r>
      <w:proofErr w:type="spellStart"/>
      <w:r w:rsidRPr="0016062A">
        <w:rPr>
          <w:rFonts w:ascii="Arial" w:hAnsi="Arial" w:cs="Arial"/>
          <w:sz w:val="20"/>
          <w:szCs w:val="20"/>
        </w:rPr>
        <w:t>monoterapií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LT4 vykazuje substituce LT3 také výraznější kolísání hladin TSH </w:t>
      </w:r>
      <w:r w:rsidRPr="0016062A">
        <w:rPr>
          <w:rFonts w:ascii="Arial" w:hAnsi="Arial" w:cs="Arial"/>
          <w:i/>
          <w:iCs/>
          <w:sz w:val="20"/>
          <w:szCs w:val="20"/>
        </w:rPr>
        <w:t>(Obr 1)</w:t>
      </w:r>
      <w:r w:rsidR="00D01448" w:rsidRPr="0016062A">
        <w:rPr>
          <w:rFonts w:ascii="Arial" w:hAnsi="Arial" w:cs="Arial"/>
          <w:sz w:val="20"/>
          <w:szCs w:val="20"/>
        </w:rPr>
        <w:t xml:space="preserve"> (29). </w:t>
      </w:r>
      <w:r w:rsidR="00D73CD9" w:rsidRPr="0016062A">
        <w:rPr>
          <w:rFonts w:ascii="Arial" w:hAnsi="Arial" w:cs="Arial"/>
          <w:sz w:val="20"/>
          <w:szCs w:val="20"/>
        </w:rPr>
        <w:t>P</w:t>
      </w:r>
      <w:r w:rsidRPr="0016062A">
        <w:rPr>
          <w:rFonts w:ascii="Arial" w:hAnsi="Arial" w:cs="Arial"/>
          <w:sz w:val="20"/>
          <w:szCs w:val="20"/>
        </w:rPr>
        <w:t xml:space="preserve">roto je </w:t>
      </w:r>
      <w:r w:rsidR="00B34065" w:rsidRPr="0016062A">
        <w:rPr>
          <w:rFonts w:ascii="Arial" w:hAnsi="Arial" w:cs="Arial"/>
          <w:sz w:val="20"/>
          <w:szCs w:val="20"/>
        </w:rPr>
        <w:t xml:space="preserve">monitorování léčby LT3 </w:t>
      </w:r>
      <w:proofErr w:type="gramStart"/>
      <w:r w:rsidR="00B34065" w:rsidRPr="0016062A">
        <w:rPr>
          <w:rFonts w:ascii="Arial" w:hAnsi="Arial" w:cs="Arial"/>
          <w:sz w:val="20"/>
          <w:szCs w:val="20"/>
        </w:rPr>
        <w:t>obtížné</w:t>
      </w:r>
      <w:proofErr w:type="gramEnd"/>
      <w:r w:rsidR="00B34065" w:rsidRPr="0016062A">
        <w:rPr>
          <w:rFonts w:ascii="Arial" w:hAnsi="Arial" w:cs="Arial"/>
          <w:sz w:val="20"/>
          <w:szCs w:val="20"/>
        </w:rPr>
        <w:t xml:space="preserve"> a i při hodnotách FT3</w:t>
      </w:r>
      <w:r w:rsidR="00671F4D" w:rsidRPr="0016062A">
        <w:rPr>
          <w:rFonts w:ascii="Arial" w:hAnsi="Arial" w:cs="Arial"/>
          <w:sz w:val="20"/>
          <w:szCs w:val="20"/>
        </w:rPr>
        <w:t xml:space="preserve"> </w:t>
      </w:r>
      <w:r w:rsidR="00B34065" w:rsidRPr="0016062A">
        <w:rPr>
          <w:rFonts w:ascii="Arial" w:hAnsi="Arial" w:cs="Arial"/>
          <w:sz w:val="20"/>
          <w:szCs w:val="20"/>
        </w:rPr>
        <w:t>v referenčním rozmezí nemusí být pacienti subjektivně spokojeni a dobře substituováni. Ve studii s 54 pacienty užívajícími kombinovanou terapii po průměrnou dobu 5,4 let mělo 38 % z nich sníženou sérovou koncentraci TSH pod 0,4 mU/l, což svědčí pro předávkování (</w:t>
      </w:r>
      <w:r w:rsidR="00D01448" w:rsidRPr="0016062A">
        <w:rPr>
          <w:rFonts w:ascii="Arial" w:hAnsi="Arial" w:cs="Arial"/>
          <w:sz w:val="20"/>
          <w:szCs w:val="20"/>
        </w:rPr>
        <w:t>30</w:t>
      </w:r>
      <w:r w:rsidR="00B34065" w:rsidRPr="0016062A">
        <w:rPr>
          <w:rFonts w:ascii="Arial" w:hAnsi="Arial" w:cs="Arial"/>
          <w:sz w:val="20"/>
          <w:szCs w:val="20"/>
        </w:rPr>
        <w:t>).</w:t>
      </w:r>
      <w:r w:rsidR="006F678B" w:rsidRPr="0016062A">
        <w:t xml:space="preserve"> </w:t>
      </w:r>
    </w:p>
    <w:p w14:paraId="4C07D4AE" w14:textId="73ED19E9" w:rsidR="006F678B" w:rsidRPr="0016062A" w:rsidRDefault="006F678B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V klinické praxi je v některých zemích LT3 indikován ke krátkodobé substituci (v délce 2–3 týdnů) před ablací radiojodem. Cílem je zmírnění symptomů těžké hypotyreózy, ke které dochází po vysazení LT4</w:t>
      </w:r>
      <w:r w:rsidR="001D70E1" w:rsidRPr="0016062A">
        <w:rPr>
          <w:rFonts w:ascii="Arial" w:hAnsi="Arial" w:cs="Arial"/>
          <w:sz w:val="20"/>
          <w:szCs w:val="20"/>
        </w:rPr>
        <w:t xml:space="preserve"> (31)</w:t>
      </w:r>
      <w:r w:rsidRPr="0016062A">
        <w:rPr>
          <w:rFonts w:ascii="Arial" w:hAnsi="Arial" w:cs="Arial"/>
          <w:sz w:val="20"/>
          <w:szCs w:val="20"/>
        </w:rPr>
        <w:t xml:space="preserve">. </w:t>
      </w:r>
    </w:p>
    <w:p w14:paraId="48331320" w14:textId="71AC21F0" w:rsidR="006F678B" w:rsidRPr="0016062A" w:rsidRDefault="006F678B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Další potenciální využití liothyroninu spočívá v jeho možném antidepresivním účinku</w:t>
      </w:r>
      <w:r w:rsidR="001D70E1" w:rsidRPr="0016062A">
        <w:rPr>
          <w:rFonts w:ascii="Arial" w:hAnsi="Arial" w:cs="Arial"/>
          <w:sz w:val="20"/>
          <w:szCs w:val="20"/>
        </w:rPr>
        <w:t xml:space="preserve"> (32)</w:t>
      </w:r>
      <w:r w:rsidRPr="0016062A">
        <w:rPr>
          <w:rFonts w:ascii="Arial" w:hAnsi="Arial" w:cs="Arial"/>
          <w:sz w:val="20"/>
          <w:szCs w:val="20"/>
        </w:rPr>
        <w:t>. Po podání LT3 dochází ke změnám v citlivosti a transkripci serotoninových</w:t>
      </w:r>
      <w:r w:rsidR="001D70E1" w:rsidRPr="0016062A">
        <w:rPr>
          <w:rFonts w:ascii="Arial" w:hAnsi="Arial" w:cs="Arial"/>
          <w:sz w:val="20"/>
          <w:szCs w:val="20"/>
        </w:rPr>
        <w:t xml:space="preserve"> 5-HT</w:t>
      </w:r>
      <w:r w:rsidRPr="0016062A">
        <w:rPr>
          <w:rFonts w:ascii="Arial" w:hAnsi="Arial" w:cs="Arial"/>
          <w:sz w:val="20"/>
          <w:szCs w:val="20"/>
        </w:rPr>
        <w:t xml:space="preserve"> </w:t>
      </w:r>
      <w:r w:rsidR="001D70E1" w:rsidRPr="0016062A">
        <w:rPr>
          <w:rFonts w:ascii="Arial" w:hAnsi="Arial" w:cs="Arial"/>
          <w:sz w:val="20"/>
          <w:szCs w:val="20"/>
        </w:rPr>
        <w:t>(5-hydroxytryptamin</w:t>
      </w:r>
      <w:r w:rsidRPr="0016062A">
        <w:rPr>
          <w:rFonts w:ascii="Arial" w:hAnsi="Arial" w:cs="Arial"/>
          <w:sz w:val="20"/>
          <w:szCs w:val="20"/>
        </w:rPr>
        <w:t>) receptorů a pravděpodobně k</w:t>
      </w:r>
      <w:r w:rsidR="00671F4D" w:rsidRPr="0016062A">
        <w:rPr>
          <w:rFonts w:ascii="Arial" w:hAnsi="Arial" w:cs="Arial"/>
          <w:sz w:val="20"/>
          <w:szCs w:val="20"/>
        </w:rPr>
        <w:t>e</w:t>
      </w:r>
      <w:r w:rsidRPr="0016062A">
        <w:rPr>
          <w:rFonts w:ascii="Arial" w:hAnsi="Arial" w:cs="Arial"/>
          <w:sz w:val="20"/>
          <w:szCs w:val="20"/>
        </w:rPr>
        <w:t xml:space="preserve"> zvýšení serotoninové signalizace</w:t>
      </w:r>
      <w:r w:rsidR="001D70E1" w:rsidRPr="0016062A">
        <w:rPr>
          <w:rFonts w:ascii="Arial" w:hAnsi="Arial" w:cs="Arial"/>
          <w:sz w:val="20"/>
          <w:szCs w:val="20"/>
        </w:rPr>
        <w:t xml:space="preserve"> (33, 34).</w:t>
      </w:r>
      <w:r w:rsidRPr="0016062A">
        <w:rPr>
          <w:rFonts w:ascii="Arial" w:hAnsi="Arial" w:cs="Arial"/>
          <w:sz w:val="20"/>
          <w:szCs w:val="20"/>
        </w:rPr>
        <w:t xml:space="preserve"> </w:t>
      </w:r>
      <w:r w:rsidR="00671F4D" w:rsidRPr="0016062A">
        <w:rPr>
          <w:rFonts w:ascii="Arial" w:hAnsi="Arial" w:cs="Arial"/>
          <w:sz w:val="20"/>
          <w:szCs w:val="20"/>
        </w:rPr>
        <w:t>Užívání</w:t>
      </w:r>
      <w:r w:rsidRPr="0016062A">
        <w:rPr>
          <w:rFonts w:ascii="Arial" w:hAnsi="Arial" w:cs="Arial"/>
          <w:sz w:val="20"/>
          <w:szCs w:val="20"/>
        </w:rPr>
        <w:t xml:space="preserve"> </w:t>
      </w:r>
      <w:r w:rsidR="00671F4D" w:rsidRPr="0016062A">
        <w:rPr>
          <w:rFonts w:ascii="Arial" w:hAnsi="Arial" w:cs="Arial"/>
          <w:sz w:val="20"/>
          <w:szCs w:val="20"/>
        </w:rPr>
        <w:t>L</w:t>
      </w:r>
      <w:r w:rsidRPr="0016062A">
        <w:rPr>
          <w:rFonts w:ascii="Arial" w:hAnsi="Arial" w:cs="Arial"/>
          <w:sz w:val="20"/>
          <w:szCs w:val="20"/>
        </w:rPr>
        <w:t xml:space="preserve">T3 také vedlo ke zvýšení bazálních hladin </w:t>
      </w:r>
      <w:r w:rsidR="00671F4D" w:rsidRPr="0016062A">
        <w:rPr>
          <w:rFonts w:ascii="Arial" w:hAnsi="Arial" w:cs="Arial"/>
          <w:sz w:val="20"/>
          <w:szCs w:val="20"/>
        </w:rPr>
        <w:t>serotoninu</w:t>
      </w:r>
      <w:r w:rsidRPr="0016062A">
        <w:rPr>
          <w:rFonts w:ascii="Arial" w:hAnsi="Arial" w:cs="Arial"/>
          <w:sz w:val="20"/>
          <w:szCs w:val="20"/>
        </w:rPr>
        <w:t xml:space="preserve"> ve frontálním kortexu</w:t>
      </w:r>
      <w:r w:rsidR="001D70E1" w:rsidRPr="0016062A">
        <w:rPr>
          <w:rFonts w:ascii="Arial" w:hAnsi="Arial" w:cs="Arial"/>
          <w:sz w:val="20"/>
          <w:szCs w:val="20"/>
        </w:rPr>
        <w:t xml:space="preserve"> (35).</w:t>
      </w:r>
    </w:p>
    <w:p w14:paraId="60BC1AF4" w14:textId="6369DB03" w:rsidR="00014DA1" w:rsidRPr="0016062A" w:rsidRDefault="006F678B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Zásadním</w:t>
      </w:r>
      <w:r w:rsidR="000F1BE7" w:rsidRPr="0016062A">
        <w:rPr>
          <w:rFonts w:ascii="Arial" w:hAnsi="Arial" w:cs="Arial"/>
          <w:sz w:val="20"/>
          <w:szCs w:val="20"/>
        </w:rPr>
        <w:t xml:space="preserve"> argumentem proti</w:t>
      </w:r>
      <w:r w:rsidR="00514B4A" w:rsidRPr="0016062A">
        <w:rPr>
          <w:rFonts w:ascii="Arial" w:hAnsi="Arial" w:cs="Arial"/>
          <w:sz w:val="20"/>
          <w:szCs w:val="20"/>
        </w:rPr>
        <w:t xml:space="preserve"> terapii </w:t>
      </w:r>
      <w:r w:rsidR="000F1BE7" w:rsidRPr="0016062A">
        <w:rPr>
          <w:rFonts w:ascii="Arial" w:hAnsi="Arial" w:cs="Arial"/>
          <w:sz w:val="20"/>
          <w:szCs w:val="20"/>
        </w:rPr>
        <w:t>LT3 je</w:t>
      </w:r>
      <w:r w:rsidRPr="0016062A">
        <w:rPr>
          <w:rFonts w:ascii="Arial" w:hAnsi="Arial" w:cs="Arial"/>
          <w:sz w:val="20"/>
          <w:szCs w:val="20"/>
        </w:rPr>
        <w:t xml:space="preserve"> ale</w:t>
      </w:r>
      <w:r w:rsidR="000F1BE7" w:rsidRPr="0016062A">
        <w:rPr>
          <w:rFonts w:ascii="Arial" w:hAnsi="Arial" w:cs="Arial"/>
          <w:sz w:val="20"/>
          <w:szCs w:val="20"/>
        </w:rPr>
        <w:t xml:space="preserve"> nedostatek údajů o bezpečnosti dlouhodobého užívání. </w:t>
      </w:r>
      <w:r w:rsidR="00D932EA" w:rsidRPr="0016062A">
        <w:rPr>
          <w:rFonts w:ascii="Arial" w:hAnsi="Arial" w:cs="Arial"/>
          <w:sz w:val="20"/>
          <w:szCs w:val="20"/>
        </w:rPr>
        <w:t xml:space="preserve">Většina studií </w:t>
      </w:r>
      <w:r w:rsidR="000E24B9" w:rsidRPr="0016062A">
        <w:rPr>
          <w:rFonts w:ascii="Arial" w:hAnsi="Arial" w:cs="Arial"/>
          <w:sz w:val="20"/>
          <w:szCs w:val="20"/>
        </w:rPr>
        <w:t>za</w:t>
      </w:r>
      <w:r w:rsidR="00934B01" w:rsidRPr="0016062A">
        <w:rPr>
          <w:rFonts w:ascii="Arial" w:hAnsi="Arial" w:cs="Arial"/>
          <w:sz w:val="20"/>
          <w:szCs w:val="20"/>
        </w:rPr>
        <w:t xml:space="preserve">měřených na </w:t>
      </w:r>
      <w:r w:rsidR="000E24B9" w:rsidRPr="0016062A">
        <w:rPr>
          <w:rFonts w:ascii="Arial" w:hAnsi="Arial" w:cs="Arial"/>
          <w:sz w:val="20"/>
          <w:szCs w:val="20"/>
        </w:rPr>
        <w:t xml:space="preserve">kombinovanou léčbu LT3/LT4 </w:t>
      </w:r>
      <w:r w:rsidR="00274BD4" w:rsidRPr="0016062A">
        <w:rPr>
          <w:rFonts w:ascii="Arial" w:hAnsi="Arial" w:cs="Arial"/>
          <w:sz w:val="20"/>
          <w:szCs w:val="20"/>
        </w:rPr>
        <w:t>trvala krátce</w:t>
      </w:r>
      <w:r w:rsidR="000E24B9" w:rsidRPr="0016062A">
        <w:rPr>
          <w:rFonts w:ascii="Arial" w:hAnsi="Arial" w:cs="Arial"/>
          <w:sz w:val="20"/>
          <w:szCs w:val="20"/>
        </w:rPr>
        <w:t xml:space="preserve"> a počet pacientů byl malý</w:t>
      </w:r>
      <w:r w:rsidR="00BE7CC7" w:rsidRPr="0016062A">
        <w:rPr>
          <w:rFonts w:ascii="Arial" w:hAnsi="Arial" w:cs="Arial"/>
          <w:sz w:val="20"/>
          <w:szCs w:val="20"/>
        </w:rPr>
        <w:t>.</w:t>
      </w:r>
      <w:r w:rsidR="00CA2FF8" w:rsidRPr="0016062A">
        <w:rPr>
          <w:rFonts w:ascii="Arial" w:hAnsi="Arial" w:cs="Arial"/>
          <w:sz w:val="20"/>
          <w:szCs w:val="20"/>
        </w:rPr>
        <w:t xml:space="preserve"> </w:t>
      </w:r>
      <w:r w:rsidR="00107609" w:rsidRPr="0016062A">
        <w:rPr>
          <w:rFonts w:ascii="Arial" w:hAnsi="Arial" w:cs="Arial"/>
          <w:sz w:val="20"/>
          <w:szCs w:val="20"/>
        </w:rPr>
        <w:t xml:space="preserve">Absolutní kontraindikací této terapie je těhotenství, </w:t>
      </w:r>
      <w:r w:rsidR="00666397" w:rsidRPr="0016062A">
        <w:rPr>
          <w:rFonts w:ascii="Arial" w:hAnsi="Arial" w:cs="Arial"/>
          <w:sz w:val="20"/>
          <w:szCs w:val="20"/>
        </w:rPr>
        <w:t>kardiovaskulární onemocnění a arytmie a není doporučena ani u starších pacientů</w:t>
      </w:r>
      <w:r w:rsidR="001D70E1" w:rsidRPr="0016062A">
        <w:rPr>
          <w:rFonts w:ascii="Arial" w:hAnsi="Arial" w:cs="Arial"/>
          <w:sz w:val="20"/>
          <w:szCs w:val="20"/>
        </w:rPr>
        <w:t xml:space="preserve"> (14)</w:t>
      </w:r>
      <w:r w:rsidR="00666397" w:rsidRPr="0016062A">
        <w:rPr>
          <w:rFonts w:ascii="Arial" w:hAnsi="Arial" w:cs="Arial"/>
          <w:sz w:val="20"/>
          <w:szCs w:val="20"/>
        </w:rPr>
        <w:t xml:space="preserve">. </w:t>
      </w:r>
      <w:r w:rsidR="00BA456C" w:rsidRPr="0016062A">
        <w:rPr>
          <w:rFonts w:ascii="Arial" w:hAnsi="Arial" w:cs="Arial"/>
          <w:sz w:val="20"/>
          <w:szCs w:val="20"/>
        </w:rPr>
        <w:t>Jedná se o nestandardní léčbu</w:t>
      </w:r>
      <w:r w:rsidR="00555720" w:rsidRPr="0016062A">
        <w:rPr>
          <w:rFonts w:ascii="Arial" w:hAnsi="Arial" w:cs="Arial"/>
          <w:sz w:val="20"/>
          <w:szCs w:val="20"/>
        </w:rPr>
        <w:t xml:space="preserve">, při které nelze </w:t>
      </w:r>
      <w:r w:rsidR="00555720" w:rsidRPr="0016062A">
        <w:rPr>
          <w:rFonts w:ascii="Arial" w:hAnsi="Arial" w:cs="Arial"/>
          <w:sz w:val="20"/>
          <w:szCs w:val="20"/>
        </w:rPr>
        <w:lastRenderedPageBreak/>
        <w:t>vyloučit r</w:t>
      </w:r>
      <w:r w:rsidR="00671F4D" w:rsidRPr="0016062A">
        <w:rPr>
          <w:rFonts w:ascii="Arial" w:hAnsi="Arial" w:cs="Arial"/>
          <w:sz w:val="20"/>
          <w:szCs w:val="20"/>
        </w:rPr>
        <w:t>ozvoj</w:t>
      </w:r>
      <w:r w:rsidR="00555720" w:rsidRPr="0016062A">
        <w:rPr>
          <w:rFonts w:ascii="Arial" w:hAnsi="Arial" w:cs="Arial"/>
          <w:sz w:val="20"/>
          <w:szCs w:val="20"/>
        </w:rPr>
        <w:t xml:space="preserve"> </w:t>
      </w:r>
      <w:r w:rsidR="001B542D" w:rsidRPr="0016062A">
        <w:rPr>
          <w:rFonts w:ascii="Arial" w:hAnsi="Arial" w:cs="Arial"/>
          <w:sz w:val="20"/>
          <w:szCs w:val="20"/>
        </w:rPr>
        <w:t>urychlené osteoporózy</w:t>
      </w:r>
      <w:r w:rsidR="00BD4D94" w:rsidRPr="0016062A">
        <w:rPr>
          <w:rFonts w:ascii="Arial" w:hAnsi="Arial" w:cs="Arial"/>
          <w:sz w:val="20"/>
          <w:szCs w:val="20"/>
        </w:rPr>
        <w:t xml:space="preserve"> a </w:t>
      </w:r>
      <w:r w:rsidR="001B542D" w:rsidRPr="0016062A">
        <w:rPr>
          <w:rFonts w:ascii="Arial" w:hAnsi="Arial" w:cs="Arial"/>
          <w:sz w:val="20"/>
          <w:szCs w:val="20"/>
        </w:rPr>
        <w:t>fibrilace síní s rizikem cévní mozkové příhody</w:t>
      </w:r>
      <w:r w:rsidR="001D70E1" w:rsidRPr="0016062A">
        <w:rPr>
          <w:rFonts w:ascii="Arial" w:hAnsi="Arial" w:cs="Arial"/>
          <w:sz w:val="20"/>
          <w:szCs w:val="20"/>
        </w:rPr>
        <w:t xml:space="preserve"> (14)</w:t>
      </w:r>
      <w:r w:rsidR="009B26B1" w:rsidRPr="0016062A">
        <w:rPr>
          <w:rFonts w:ascii="Arial" w:hAnsi="Arial" w:cs="Arial"/>
          <w:sz w:val="20"/>
          <w:szCs w:val="20"/>
        </w:rPr>
        <w:t>.</w:t>
      </w:r>
      <w:r w:rsidR="006E094A" w:rsidRPr="0016062A">
        <w:rPr>
          <w:rFonts w:ascii="Arial" w:hAnsi="Arial" w:cs="Arial"/>
          <w:sz w:val="20"/>
          <w:szCs w:val="20"/>
        </w:rPr>
        <w:t xml:space="preserve"> Například </w:t>
      </w:r>
      <w:proofErr w:type="spellStart"/>
      <w:r w:rsidR="006E094A" w:rsidRPr="0016062A">
        <w:rPr>
          <w:rFonts w:ascii="Arial" w:hAnsi="Arial" w:cs="Arial"/>
          <w:sz w:val="20"/>
          <w:szCs w:val="20"/>
        </w:rPr>
        <w:t>Wook</w:t>
      </w:r>
      <w:proofErr w:type="spellEnd"/>
      <w:r w:rsidR="006E094A" w:rsidRPr="0016062A">
        <w:rPr>
          <w:rFonts w:ascii="Arial" w:hAnsi="Arial" w:cs="Arial"/>
          <w:sz w:val="20"/>
          <w:szCs w:val="20"/>
        </w:rPr>
        <w:t xml:space="preserve"> et al. popsali zvýšené riziko srdečního selhání a cévní mozkové příhody u pacientů dlouhodobě (&gt; 52 týdnů) léčených LT3</w:t>
      </w:r>
      <w:r w:rsidR="00F510F4" w:rsidRPr="0016062A">
        <w:rPr>
          <w:rFonts w:ascii="Arial" w:hAnsi="Arial" w:cs="Arial"/>
          <w:sz w:val="20"/>
          <w:szCs w:val="20"/>
        </w:rPr>
        <w:t xml:space="preserve"> (3</w:t>
      </w:r>
      <w:r w:rsidR="00117FCA" w:rsidRPr="0016062A">
        <w:rPr>
          <w:rFonts w:ascii="Arial" w:hAnsi="Arial" w:cs="Arial"/>
          <w:sz w:val="20"/>
          <w:szCs w:val="20"/>
        </w:rPr>
        <w:t>6</w:t>
      </w:r>
      <w:r w:rsidR="00F510F4" w:rsidRPr="0016062A">
        <w:rPr>
          <w:rFonts w:ascii="Arial" w:hAnsi="Arial" w:cs="Arial"/>
          <w:sz w:val="20"/>
          <w:szCs w:val="20"/>
        </w:rPr>
        <w:t>).</w:t>
      </w:r>
      <w:r w:rsidR="006E094A" w:rsidRPr="0016062A">
        <w:rPr>
          <w:rFonts w:ascii="Arial" w:hAnsi="Arial" w:cs="Arial"/>
          <w:sz w:val="20"/>
          <w:szCs w:val="20"/>
        </w:rPr>
        <w:t xml:space="preserve"> </w:t>
      </w:r>
      <w:r w:rsidR="00000D0F" w:rsidRPr="0016062A">
        <w:rPr>
          <w:rFonts w:ascii="Arial" w:hAnsi="Arial" w:cs="Arial"/>
          <w:sz w:val="20"/>
          <w:szCs w:val="20"/>
        </w:rPr>
        <w:t>Nežádoucí k</w:t>
      </w:r>
      <w:r w:rsidR="00117FCA" w:rsidRPr="0016062A">
        <w:rPr>
          <w:rFonts w:ascii="Arial" w:hAnsi="Arial" w:cs="Arial"/>
          <w:sz w:val="20"/>
          <w:szCs w:val="20"/>
        </w:rPr>
        <w:t>olísání</w:t>
      </w:r>
      <w:r w:rsidR="00014DA1" w:rsidRPr="0016062A">
        <w:rPr>
          <w:rFonts w:ascii="Arial" w:hAnsi="Arial" w:cs="Arial"/>
          <w:sz w:val="20"/>
          <w:szCs w:val="20"/>
        </w:rPr>
        <w:t xml:space="preserve"> sérových koncentrací LT3 spolu </w:t>
      </w:r>
      <w:r w:rsidR="00B26989">
        <w:rPr>
          <w:rFonts w:ascii="Arial" w:hAnsi="Arial" w:cs="Arial"/>
          <w:sz w:val="20"/>
          <w:szCs w:val="20"/>
        </w:rPr>
        <w:t>s</w:t>
      </w:r>
      <w:r w:rsidR="00014DA1" w:rsidRPr="0016062A">
        <w:rPr>
          <w:rFonts w:ascii="Arial" w:hAnsi="Arial" w:cs="Arial"/>
          <w:sz w:val="20"/>
          <w:szCs w:val="20"/>
        </w:rPr>
        <w:t xml:space="preserve"> kumulativní dob</w:t>
      </w:r>
      <w:r w:rsidR="00000D0F" w:rsidRPr="0016062A">
        <w:rPr>
          <w:rFonts w:ascii="Arial" w:hAnsi="Arial" w:cs="Arial"/>
          <w:sz w:val="20"/>
          <w:szCs w:val="20"/>
        </w:rPr>
        <w:t>ou</w:t>
      </w:r>
      <w:r w:rsidR="00014DA1" w:rsidRPr="0016062A">
        <w:rPr>
          <w:rFonts w:ascii="Arial" w:hAnsi="Arial" w:cs="Arial"/>
          <w:sz w:val="20"/>
          <w:szCs w:val="20"/>
        </w:rPr>
        <w:t xml:space="preserve"> suprese TSH představují rizik</w:t>
      </w:r>
      <w:r w:rsidR="00000D0F" w:rsidRPr="0016062A">
        <w:rPr>
          <w:rFonts w:ascii="Arial" w:hAnsi="Arial" w:cs="Arial"/>
          <w:sz w:val="20"/>
          <w:szCs w:val="20"/>
        </w:rPr>
        <w:t>ové faktory</w:t>
      </w:r>
      <w:r w:rsidR="00014DA1" w:rsidRPr="0016062A">
        <w:rPr>
          <w:rFonts w:ascii="Arial" w:hAnsi="Arial" w:cs="Arial"/>
          <w:sz w:val="20"/>
          <w:szCs w:val="20"/>
        </w:rPr>
        <w:t xml:space="preserve"> negativních kardiovaskulárních a kostních </w:t>
      </w:r>
      <w:r w:rsidR="00000D0F" w:rsidRPr="0016062A">
        <w:rPr>
          <w:rFonts w:ascii="Arial" w:hAnsi="Arial" w:cs="Arial"/>
          <w:sz w:val="20"/>
          <w:szCs w:val="20"/>
        </w:rPr>
        <w:t>důsledků</w:t>
      </w:r>
      <w:r w:rsidR="00014DA1" w:rsidRPr="0016062A">
        <w:rPr>
          <w:rFonts w:ascii="Arial" w:hAnsi="Arial" w:cs="Arial"/>
          <w:sz w:val="20"/>
          <w:szCs w:val="20"/>
        </w:rPr>
        <w:t xml:space="preserve">, zejména zvýšené incidence </w:t>
      </w:r>
      <w:proofErr w:type="spellStart"/>
      <w:r w:rsidR="00014DA1" w:rsidRPr="0016062A">
        <w:rPr>
          <w:rFonts w:ascii="Arial" w:hAnsi="Arial" w:cs="Arial"/>
          <w:sz w:val="20"/>
          <w:szCs w:val="20"/>
        </w:rPr>
        <w:t>osteoporotických</w:t>
      </w:r>
      <w:proofErr w:type="spellEnd"/>
      <w:r w:rsidR="00014DA1" w:rsidRPr="0016062A">
        <w:rPr>
          <w:rFonts w:ascii="Arial" w:hAnsi="Arial" w:cs="Arial"/>
          <w:sz w:val="20"/>
          <w:szCs w:val="20"/>
        </w:rPr>
        <w:t xml:space="preserve"> zlomenin</w:t>
      </w:r>
      <w:r w:rsidR="00117FCA" w:rsidRPr="0016062A">
        <w:rPr>
          <w:rFonts w:ascii="Arial" w:hAnsi="Arial" w:cs="Arial"/>
          <w:sz w:val="20"/>
          <w:szCs w:val="20"/>
        </w:rPr>
        <w:t xml:space="preserve"> (37, 38)</w:t>
      </w:r>
      <w:r w:rsidR="00014DA1" w:rsidRPr="0016062A">
        <w:rPr>
          <w:rFonts w:ascii="Arial" w:hAnsi="Arial" w:cs="Arial"/>
          <w:sz w:val="20"/>
          <w:szCs w:val="20"/>
        </w:rPr>
        <w:t>.</w:t>
      </w:r>
    </w:p>
    <w:p w14:paraId="463CAE70" w14:textId="12646345" w:rsidR="00B56953" w:rsidRPr="0016062A" w:rsidRDefault="00EC3649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V roce 2016 byla uvedena studie TEARS</w:t>
      </w:r>
      <w:r w:rsidR="00CD0E63" w:rsidRPr="0016062A">
        <w:rPr>
          <w:rFonts w:ascii="Arial" w:hAnsi="Arial" w:cs="Arial"/>
          <w:sz w:val="20"/>
          <w:szCs w:val="20"/>
        </w:rPr>
        <w:t>, ve které se u 400 pacientů léčených LT3 (medián trvání terapie 10,9 let)</w:t>
      </w:r>
      <w:r w:rsidR="00117FCA" w:rsidRPr="0016062A">
        <w:rPr>
          <w:rFonts w:ascii="Arial" w:hAnsi="Arial" w:cs="Arial"/>
          <w:sz w:val="20"/>
          <w:szCs w:val="20"/>
        </w:rPr>
        <w:t xml:space="preserve"> sice</w:t>
      </w:r>
      <w:r w:rsidR="00CD0E63" w:rsidRPr="0016062A">
        <w:rPr>
          <w:rFonts w:ascii="Arial" w:hAnsi="Arial" w:cs="Arial"/>
          <w:sz w:val="20"/>
          <w:szCs w:val="20"/>
        </w:rPr>
        <w:t xml:space="preserve"> ne</w:t>
      </w:r>
      <w:r w:rsidR="00C15E74" w:rsidRPr="0016062A">
        <w:rPr>
          <w:rFonts w:ascii="Arial" w:hAnsi="Arial" w:cs="Arial"/>
          <w:sz w:val="20"/>
          <w:szCs w:val="20"/>
        </w:rPr>
        <w:t xml:space="preserve">potvrdilo </w:t>
      </w:r>
      <w:r w:rsidR="00CD0E63" w:rsidRPr="0016062A">
        <w:rPr>
          <w:rFonts w:ascii="Arial" w:hAnsi="Arial" w:cs="Arial"/>
          <w:sz w:val="20"/>
          <w:szCs w:val="20"/>
        </w:rPr>
        <w:t>zvýšené riziko kardiovaskulárních onemocnění (HR 1,04 95</w:t>
      </w:r>
      <w:r w:rsidR="00C15E74" w:rsidRPr="0016062A">
        <w:rPr>
          <w:rFonts w:ascii="Arial" w:hAnsi="Arial" w:cs="Arial"/>
          <w:sz w:val="20"/>
          <w:szCs w:val="20"/>
        </w:rPr>
        <w:t xml:space="preserve"> </w:t>
      </w:r>
      <w:r w:rsidR="00CD0E63" w:rsidRPr="0016062A">
        <w:rPr>
          <w:rFonts w:ascii="Arial" w:hAnsi="Arial" w:cs="Arial"/>
          <w:sz w:val="20"/>
          <w:szCs w:val="20"/>
        </w:rPr>
        <w:t>% CI 0,70; 1,54), fibrilace síní (HR 0,91 95</w:t>
      </w:r>
      <w:r w:rsidR="00C15E74" w:rsidRPr="0016062A">
        <w:rPr>
          <w:rFonts w:ascii="Arial" w:hAnsi="Arial" w:cs="Arial"/>
          <w:sz w:val="20"/>
          <w:szCs w:val="20"/>
        </w:rPr>
        <w:t xml:space="preserve"> </w:t>
      </w:r>
      <w:r w:rsidR="00CD0E63" w:rsidRPr="0016062A">
        <w:rPr>
          <w:rFonts w:ascii="Arial" w:hAnsi="Arial" w:cs="Arial"/>
          <w:sz w:val="20"/>
          <w:szCs w:val="20"/>
        </w:rPr>
        <w:t>% CI 0,47; 1,75) ani zlomenin (HR 0,79 95</w:t>
      </w:r>
      <w:r w:rsidR="00C15E74" w:rsidRPr="0016062A">
        <w:rPr>
          <w:rFonts w:ascii="Arial" w:hAnsi="Arial" w:cs="Arial"/>
          <w:sz w:val="20"/>
          <w:szCs w:val="20"/>
        </w:rPr>
        <w:t xml:space="preserve"> </w:t>
      </w:r>
      <w:r w:rsidR="00CD0E63" w:rsidRPr="0016062A">
        <w:rPr>
          <w:rFonts w:ascii="Arial" w:hAnsi="Arial" w:cs="Arial"/>
          <w:sz w:val="20"/>
          <w:szCs w:val="20"/>
        </w:rPr>
        <w:t xml:space="preserve">% CI 0,49; 1,27) po adjustaci na věk, </w:t>
      </w:r>
      <w:r w:rsidR="00CB2E02" w:rsidRPr="0016062A">
        <w:rPr>
          <w:rFonts w:ascii="Arial" w:hAnsi="Arial" w:cs="Arial"/>
          <w:sz w:val="20"/>
          <w:szCs w:val="20"/>
        </w:rPr>
        <w:t xml:space="preserve">na druhou stranu tato </w:t>
      </w:r>
      <w:r w:rsidR="00BD4D94" w:rsidRPr="0016062A">
        <w:rPr>
          <w:rFonts w:ascii="Arial" w:hAnsi="Arial" w:cs="Arial"/>
          <w:sz w:val="20"/>
          <w:szCs w:val="20"/>
        </w:rPr>
        <w:t xml:space="preserve">práce </w:t>
      </w:r>
      <w:r w:rsidR="00CB2E02" w:rsidRPr="0016062A">
        <w:rPr>
          <w:rFonts w:ascii="Arial" w:hAnsi="Arial" w:cs="Arial"/>
          <w:sz w:val="20"/>
          <w:szCs w:val="20"/>
        </w:rPr>
        <w:t>poukazuje na</w:t>
      </w:r>
      <w:r w:rsidR="00CD0E63" w:rsidRPr="0016062A">
        <w:rPr>
          <w:rFonts w:ascii="Arial" w:hAnsi="Arial" w:cs="Arial"/>
          <w:sz w:val="20"/>
          <w:szCs w:val="20"/>
        </w:rPr>
        <w:t xml:space="preserve"> zvýšené rizik</w:t>
      </w:r>
      <w:r w:rsidR="00CB2E02" w:rsidRPr="0016062A">
        <w:rPr>
          <w:rFonts w:ascii="Arial" w:hAnsi="Arial" w:cs="Arial"/>
          <w:sz w:val="20"/>
          <w:szCs w:val="20"/>
        </w:rPr>
        <w:t>o</w:t>
      </w:r>
      <w:r w:rsidR="00CD0E63" w:rsidRPr="0016062A">
        <w:rPr>
          <w:rFonts w:ascii="Arial" w:hAnsi="Arial" w:cs="Arial"/>
          <w:sz w:val="20"/>
          <w:szCs w:val="20"/>
        </w:rPr>
        <w:t xml:space="preserve"> rakoviny prsu</w:t>
      </w:r>
      <w:r w:rsidR="0063029C" w:rsidRPr="0016062A">
        <w:rPr>
          <w:rFonts w:ascii="Arial" w:hAnsi="Arial" w:cs="Arial"/>
          <w:sz w:val="20"/>
          <w:szCs w:val="20"/>
        </w:rPr>
        <w:t xml:space="preserve"> a při terapii LT3 </w:t>
      </w:r>
      <w:r w:rsidR="003D7878" w:rsidRPr="0016062A">
        <w:rPr>
          <w:rFonts w:ascii="Arial" w:hAnsi="Arial" w:cs="Arial"/>
          <w:sz w:val="20"/>
          <w:szCs w:val="20"/>
        </w:rPr>
        <w:t xml:space="preserve">navrhují autoři </w:t>
      </w:r>
      <w:r w:rsidR="0063029C" w:rsidRPr="0016062A">
        <w:rPr>
          <w:rFonts w:ascii="Arial" w:hAnsi="Arial" w:cs="Arial"/>
          <w:sz w:val="20"/>
          <w:szCs w:val="20"/>
        </w:rPr>
        <w:t xml:space="preserve">pravidelný </w:t>
      </w:r>
      <w:proofErr w:type="spellStart"/>
      <w:r w:rsidR="0063029C" w:rsidRPr="0016062A">
        <w:rPr>
          <w:rFonts w:ascii="Arial" w:hAnsi="Arial" w:cs="Arial"/>
          <w:sz w:val="20"/>
          <w:szCs w:val="20"/>
        </w:rPr>
        <w:t>mammografický</w:t>
      </w:r>
      <w:proofErr w:type="spellEnd"/>
      <w:r w:rsidR="0063029C" w:rsidRPr="0016062A">
        <w:rPr>
          <w:rFonts w:ascii="Arial" w:hAnsi="Arial" w:cs="Arial"/>
          <w:sz w:val="20"/>
          <w:szCs w:val="20"/>
        </w:rPr>
        <w:t xml:space="preserve"> screening</w:t>
      </w:r>
      <w:r w:rsidR="009B26F3" w:rsidRPr="0016062A">
        <w:rPr>
          <w:rFonts w:ascii="Arial" w:hAnsi="Arial" w:cs="Arial"/>
          <w:sz w:val="20"/>
          <w:szCs w:val="20"/>
        </w:rPr>
        <w:t xml:space="preserve">, což by bylo </w:t>
      </w:r>
      <w:r w:rsidR="007A2FB7" w:rsidRPr="0016062A">
        <w:rPr>
          <w:rFonts w:ascii="Arial" w:hAnsi="Arial" w:cs="Arial"/>
          <w:sz w:val="20"/>
          <w:szCs w:val="20"/>
        </w:rPr>
        <w:t>obtížné zajistit</w:t>
      </w:r>
      <w:r w:rsidR="00B56953" w:rsidRPr="0016062A">
        <w:rPr>
          <w:rFonts w:ascii="Arial" w:hAnsi="Arial" w:cs="Arial"/>
          <w:sz w:val="20"/>
          <w:szCs w:val="20"/>
        </w:rPr>
        <w:t xml:space="preserve"> (</w:t>
      </w:r>
      <w:r w:rsidR="001D70E1" w:rsidRPr="0016062A">
        <w:rPr>
          <w:rFonts w:ascii="Arial" w:hAnsi="Arial" w:cs="Arial"/>
          <w:sz w:val="20"/>
          <w:szCs w:val="20"/>
        </w:rPr>
        <w:t>3</w:t>
      </w:r>
      <w:r w:rsidR="00117FCA" w:rsidRPr="0016062A">
        <w:rPr>
          <w:rFonts w:ascii="Arial" w:hAnsi="Arial" w:cs="Arial"/>
          <w:sz w:val="20"/>
          <w:szCs w:val="20"/>
        </w:rPr>
        <w:t>9</w:t>
      </w:r>
      <w:r w:rsidR="00B56953" w:rsidRPr="0016062A">
        <w:rPr>
          <w:rFonts w:ascii="Arial" w:hAnsi="Arial" w:cs="Arial"/>
          <w:sz w:val="20"/>
          <w:szCs w:val="20"/>
        </w:rPr>
        <w:t>).</w:t>
      </w:r>
    </w:p>
    <w:p w14:paraId="0E71F838" w14:textId="7D43FC69" w:rsidR="0063029C" w:rsidRPr="0016062A" w:rsidRDefault="00C22BD9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V</w:t>
      </w:r>
      <w:r w:rsidR="00D91129" w:rsidRPr="0016062A">
        <w:rPr>
          <w:rFonts w:ascii="Arial" w:hAnsi="Arial" w:cs="Arial"/>
          <w:sz w:val="20"/>
          <w:szCs w:val="20"/>
        </w:rPr>
        <w:t xml:space="preserve"> těhotenství hrozí porucha neurologického vývoje při nadměrné dávce T3 způsobující </w:t>
      </w:r>
      <w:proofErr w:type="spellStart"/>
      <w:r w:rsidR="0073720D" w:rsidRPr="0016062A">
        <w:rPr>
          <w:rFonts w:ascii="Arial" w:hAnsi="Arial" w:cs="Arial"/>
          <w:sz w:val="20"/>
          <w:szCs w:val="20"/>
        </w:rPr>
        <w:t>hypotyroxinémi</w:t>
      </w:r>
      <w:r w:rsidR="00E94D84" w:rsidRPr="0016062A">
        <w:rPr>
          <w:rFonts w:ascii="Arial" w:hAnsi="Arial" w:cs="Arial"/>
          <w:sz w:val="20"/>
          <w:szCs w:val="20"/>
        </w:rPr>
        <w:t>i</w:t>
      </w:r>
      <w:proofErr w:type="spellEnd"/>
      <w:r w:rsidR="00B50C5A" w:rsidRPr="0016062A">
        <w:rPr>
          <w:rFonts w:ascii="Arial" w:hAnsi="Arial" w:cs="Arial"/>
          <w:sz w:val="20"/>
          <w:szCs w:val="20"/>
        </w:rPr>
        <w:t xml:space="preserve"> </w:t>
      </w:r>
      <w:r w:rsidR="00C10362" w:rsidRPr="0016062A">
        <w:rPr>
          <w:rFonts w:ascii="Arial" w:hAnsi="Arial" w:cs="Arial"/>
          <w:sz w:val="20"/>
          <w:szCs w:val="20"/>
        </w:rPr>
        <w:t xml:space="preserve">plodu </w:t>
      </w:r>
      <w:r w:rsidR="00B56953" w:rsidRPr="0016062A">
        <w:rPr>
          <w:rFonts w:ascii="Arial" w:hAnsi="Arial" w:cs="Arial"/>
          <w:sz w:val="20"/>
          <w:szCs w:val="20"/>
        </w:rPr>
        <w:t>(</w:t>
      </w:r>
      <w:r w:rsidR="001D70E1" w:rsidRPr="0016062A">
        <w:rPr>
          <w:rFonts w:ascii="Arial" w:hAnsi="Arial" w:cs="Arial"/>
          <w:sz w:val="20"/>
          <w:szCs w:val="20"/>
        </w:rPr>
        <w:t>3</w:t>
      </w:r>
      <w:r w:rsidR="00117FCA" w:rsidRPr="0016062A">
        <w:rPr>
          <w:rFonts w:ascii="Arial" w:hAnsi="Arial" w:cs="Arial"/>
          <w:sz w:val="20"/>
          <w:szCs w:val="20"/>
        </w:rPr>
        <w:t>9</w:t>
      </w:r>
      <w:r w:rsidR="001D70E1" w:rsidRPr="0016062A">
        <w:rPr>
          <w:rFonts w:ascii="Arial" w:hAnsi="Arial" w:cs="Arial"/>
          <w:sz w:val="20"/>
          <w:szCs w:val="20"/>
        </w:rPr>
        <w:t xml:space="preserve">, </w:t>
      </w:r>
      <w:r w:rsidR="00117FCA" w:rsidRPr="0016062A">
        <w:rPr>
          <w:rFonts w:ascii="Arial" w:hAnsi="Arial" w:cs="Arial"/>
          <w:sz w:val="20"/>
          <w:szCs w:val="20"/>
        </w:rPr>
        <w:t>40</w:t>
      </w:r>
      <w:r w:rsidR="00B56953" w:rsidRPr="0016062A">
        <w:rPr>
          <w:rFonts w:ascii="Arial" w:hAnsi="Arial" w:cs="Arial"/>
          <w:sz w:val="20"/>
          <w:szCs w:val="20"/>
        </w:rPr>
        <w:t>).</w:t>
      </w:r>
      <w:r w:rsidR="00D91129" w:rsidRPr="0016062A">
        <w:rPr>
          <w:rFonts w:ascii="Arial" w:hAnsi="Arial" w:cs="Arial"/>
          <w:sz w:val="20"/>
          <w:szCs w:val="20"/>
        </w:rPr>
        <w:t xml:space="preserve"> Fetální </w:t>
      </w:r>
      <w:proofErr w:type="spellStart"/>
      <w:r w:rsidR="00D91129" w:rsidRPr="0016062A">
        <w:rPr>
          <w:rFonts w:ascii="Arial" w:hAnsi="Arial" w:cs="Arial"/>
          <w:sz w:val="20"/>
          <w:szCs w:val="20"/>
        </w:rPr>
        <w:t>neurogeneze</w:t>
      </w:r>
      <w:proofErr w:type="spellEnd"/>
      <w:r w:rsidR="00D91129" w:rsidRPr="0016062A">
        <w:rPr>
          <w:rFonts w:ascii="Arial" w:hAnsi="Arial" w:cs="Arial"/>
          <w:sz w:val="20"/>
          <w:szCs w:val="20"/>
        </w:rPr>
        <w:t xml:space="preserve"> </w:t>
      </w:r>
      <w:r w:rsidR="002723D0" w:rsidRPr="0016062A">
        <w:rPr>
          <w:rFonts w:ascii="Arial" w:hAnsi="Arial" w:cs="Arial"/>
          <w:sz w:val="20"/>
          <w:szCs w:val="20"/>
        </w:rPr>
        <w:t>je závislá na koncentracích volného T4</w:t>
      </w:r>
      <w:r w:rsidR="00671F4D" w:rsidRPr="0016062A">
        <w:rPr>
          <w:rFonts w:ascii="Arial" w:hAnsi="Arial" w:cs="Arial"/>
          <w:sz w:val="20"/>
          <w:szCs w:val="20"/>
        </w:rPr>
        <w:t xml:space="preserve"> </w:t>
      </w:r>
      <w:r w:rsidR="002723D0" w:rsidRPr="0016062A">
        <w:rPr>
          <w:rFonts w:ascii="Arial" w:hAnsi="Arial" w:cs="Arial"/>
          <w:sz w:val="20"/>
          <w:szCs w:val="20"/>
        </w:rPr>
        <w:t>do 16.-18. gestačního týdne</w:t>
      </w:r>
      <w:r w:rsidR="00B50C5A" w:rsidRPr="0016062A">
        <w:rPr>
          <w:rFonts w:ascii="Arial" w:hAnsi="Arial" w:cs="Arial"/>
          <w:sz w:val="20"/>
          <w:szCs w:val="20"/>
        </w:rPr>
        <w:t xml:space="preserve"> (</w:t>
      </w:r>
      <w:r w:rsidR="00F510F4" w:rsidRPr="0016062A">
        <w:rPr>
          <w:rFonts w:ascii="Arial" w:hAnsi="Arial" w:cs="Arial"/>
          <w:sz w:val="20"/>
          <w:szCs w:val="20"/>
        </w:rPr>
        <w:t>4</w:t>
      </w:r>
      <w:r w:rsidR="00117FCA" w:rsidRPr="0016062A">
        <w:rPr>
          <w:rFonts w:ascii="Arial" w:hAnsi="Arial" w:cs="Arial"/>
          <w:sz w:val="20"/>
          <w:szCs w:val="20"/>
        </w:rPr>
        <w:t>1</w:t>
      </w:r>
      <w:r w:rsidR="00B50C5A" w:rsidRPr="0016062A">
        <w:rPr>
          <w:rFonts w:ascii="Arial" w:hAnsi="Arial" w:cs="Arial"/>
          <w:sz w:val="20"/>
          <w:szCs w:val="20"/>
        </w:rPr>
        <w:t>)</w:t>
      </w:r>
      <w:r w:rsidR="00B56953" w:rsidRPr="0016062A">
        <w:rPr>
          <w:rFonts w:ascii="Arial" w:hAnsi="Arial" w:cs="Arial"/>
          <w:sz w:val="20"/>
          <w:szCs w:val="20"/>
        </w:rPr>
        <w:t xml:space="preserve">. </w:t>
      </w:r>
    </w:p>
    <w:p w14:paraId="4C41F4CC" w14:textId="4392D4AC" w:rsidR="00B3446B" w:rsidRPr="0016062A" w:rsidRDefault="00CA2FF8" w:rsidP="00A944EE">
      <w:pPr>
        <w:spacing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Krom</w:t>
      </w:r>
      <w:r w:rsidR="00B56953" w:rsidRPr="0016062A">
        <w:rPr>
          <w:rFonts w:ascii="Arial" w:hAnsi="Arial" w:cs="Arial"/>
          <w:sz w:val="20"/>
          <w:szCs w:val="20"/>
        </w:rPr>
        <w:t>ě</w:t>
      </w:r>
      <w:r w:rsidRPr="0016062A">
        <w:rPr>
          <w:rFonts w:ascii="Arial" w:hAnsi="Arial" w:cs="Arial"/>
          <w:sz w:val="20"/>
          <w:szCs w:val="20"/>
        </w:rPr>
        <w:t xml:space="preserve"> bezpečnosti zůstává sporná také účinnost</w:t>
      </w:r>
      <w:r w:rsidR="00B56953" w:rsidRPr="0016062A">
        <w:rPr>
          <w:rFonts w:ascii="Arial" w:hAnsi="Arial" w:cs="Arial"/>
          <w:sz w:val="20"/>
          <w:szCs w:val="20"/>
        </w:rPr>
        <w:t xml:space="preserve"> liothyroninu. </w:t>
      </w:r>
      <w:r w:rsidRPr="0016062A">
        <w:rPr>
          <w:rFonts w:ascii="Arial" w:hAnsi="Arial" w:cs="Arial"/>
          <w:sz w:val="20"/>
          <w:szCs w:val="20"/>
        </w:rPr>
        <w:t xml:space="preserve">Bylo provedeno nejméně 13 randomizovaných kontrolovaných studií, které porovnávaly </w:t>
      </w:r>
      <w:r w:rsidR="00671F4D" w:rsidRPr="0016062A">
        <w:rPr>
          <w:rFonts w:ascii="Arial" w:hAnsi="Arial" w:cs="Arial"/>
          <w:sz w:val="20"/>
          <w:szCs w:val="20"/>
        </w:rPr>
        <w:t>efektivitu</w:t>
      </w:r>
      <w:r w:rsidRPr="0016062A">
        <w:rPr>
          <w:rFonts w:ascii="Arial" w:hAnsi="Arial" w:cs="Arial"/>
          <w:sz w:val="20"/>
          <w:szCs w:val="20"/>
        </w:rPr>
        <w:t xml:space="preserve"> kombinované terapie s </w:t>
      </w:r>
      <w:proofErr w:type="spellStart"/>
      <w:r w:rsidRPr="0016062A">
        <w:rPr>
          <w:rFonts w:ascii="Arial" w:hAnsi="Arial" w:cs="Arial"/>
          <w:sz w:val="20"/>
          <w:szCs w:val="20"/>
        </w:rPr>
        <w:t>monoterapií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LT4 (</w:t>
      </w:r>
      <w:r w:rsidR="001D70E1" w:rsidRPr="0016062A">
        <w:rPr>
          <w:rFonts w:ascii="Arial" w:hAnsi="Arial" w:cs="Arial"/>
          <w:sz w:val="20"/>
          <w:szCs w:val="20"/>
        </w:rPr>
        <w:t>4</w:t>
      </w:r>
      <w:r w:rsidR="00117FCA" w:rsidRPr="0016062A">
        <w:rPr>
          <w:rFonts w:ascii="Arial" w:hAnsi="Arial" w:cs="Arial"/>
          <w:sz w:val="20"/>
          <w:szCs w:val="20"/>
        </w:rPr>
        <w:t>2</w:t>
      </w:r>
      <w:r w:rsidRPr="0016062A">
        <w:rPr>
          <w:rFonts w:ascii="Arial" w:hAnsi="Arial" w:cs="Arial"/>
          <w:sz w:val="20"/>
          <w:szCs w:val="20"/>
        </w:rPr>
        <w:t>). Čtyři metaanalýzy těchto studií neprokázaly žádný přínos kombinované substituce oproti monoterapii LT4 z hlediska nálady a kognitivních funkcí</w:t>
      </w:r>
      <w:r w:rsidR="004B50EA" w:rsidRPr="0016062A">
        <w:rPr>
          <w:rFonts w:ascii="Arial" w:hAnsi="Arial" w:cs="Arial"/>
          <w:sz w:val="20"/>
          <w:szCs w:val="20"/>
        </w:rPr>
        <w:t xml:space="preserve">, nevyskytl se rozdíl mezi </w:t>
      </w:r>
      <w:proofErr w:type="spellStart"/>
      <w:r w:rsidR="004B50EA" w:rsidRPr="0016062A">
        <w:rPr>
          <w:rFonts w:ascii="Arial" w:hAnsi="Arial" w:cs="Arial"/>
          <w:sz w:val="20"/>
          <w:szCs w:val="20"/>
        </w:rPr>
        <w:t>monoterapií</w:t>
      </w:r>
      <w:proofErr w:type="spellEnd"/>
      <w:r w:rsidR="004B50EA" w:rsidRPr="0016062A">
        <w:rPr>
          <w:rFonts w:ascii="Arial" w:hAnsi="Arial" w:cs="Arial"/>
          <w:sz w:val="20"/>
          <w:szCs w:val="20"/>
        </w:rPr>
        <w:t xml:space="preserve"> LT4 a kombinovanou terapií při posuzování bolesti, kvality života, deprese a úzkosti</w:t>
      </w:r>
      <w:r w:rsidRPr="0016062A">
        <w:rPr>
          <w:rFonts w:ascii="Arial" w:hAnsi="Arial" w:cs="Arial"/>
          <w:sz w:val="20"/>
          <w:szCs w:val="20"/>
        </w:rPr>
        <w:t xml:space="preserve"> (</w:t>
      </w:r>
      <w:r w:rsidR="001D70E1" w:rsidRPr="0016062A">
        <w:rPr>
          <w:rFonts w:ascii="Arial" w:hAnsi="Arial" w:cs="Arial"/>
          <w:sz w:val="20"/>
          <w:szCs w:val="20"/>
        </w:rPr>
        <w:t>4</w:t>
      </w:r>
      <w:r w:rsidR="00117FCA" w:rsidRPr="0016062A">
        <w:rPr>
          <w:rFonts w:ascii="Arial" w:hAnsi="Arial" w:cs="Arial"/>
          <w:sz w:val="20"/>
          <w:szCs w:val="20"/>
        </w:rPr>
        <w:t>3</w:t>
      </w:r>
      <w:r w:rsidRPr="0016062A">
        <w:rPr>
          <w:rFonts w:ascii="Arial" w:hAnsi="Arial" w:cs="Arial"/>
          <w:sz w:val="20"/>
          <w:szCs w:val="20"/>
        </w:rPr>
        <w:t>-</w:t>
      </w:r>
      <w:r w:rsidR="001D70E1" w:rsidRPr="0016062A">
        <w:rPr>
          <w:rFonts w:ascii="Arial" w:hAnsi="Arial" w:cs="Arial"/>
          <w:sz w:val="20"/>
          <w:szCs w:val="20"/>
        </w:rPr>
        <w:t>4</w:t>
      </w:r>
      <w:r w:rsidR="00117FCA" w:rsidRPr="0016062A">
        <w:rPr>
          <w:rFonts w:ascii="Arial" w:hAnsi="Arial" w:cs="Arial"/>
          <w:sz w:val="20"/>
          <w:szCs w:val="20"/>
        </w:rPr>
        <w:t>6</w:t>
      </w:r>
      <w:r w:rsidRPr="0016062A">
        <w:rPr>
          <w:rFonts w:ascii="Arial" w:hAnsi="Arial" w:cs="Arial"/>
          <w:sz w:val="20"/>
          <w:szCs w:val="20"/>
        </w:rPr>
        <w:t>).</w:t>
      </w:r>
      <w:r w:rsidR="002B1696" w:rsidRPr="001606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023" w:rsidRPr="0016062A">
        <w:rPr>
          <w:rFonts w:ascii="Arial" w:hAnsi="Arial" w:cs="Arial"/>
          <w:sz w:val="20"/>
          <w:szCs w:val="20"/>
        </w:rPr>
        <w:t>W</w:t>
      </w:r>
      <w:r w:rsidRPr="0016062A">
        <w:rPr>
          <w:rFonts w:ascii="Arial" w:hAnsi="Arial" w:cs="Arial"/>
          <w:sz w:val="20"/>
          <w:szCs w:val="20"/>
        </w:rPr>
        <w:t>iersinga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a kol. (</w:t>
      </w:r>
      <w:r w:rsidR="004B50EA" w:rsidRPr="0016062A">
        <w:rPr>
          <w:rFonts w:ascii="Arial" w:hAnsi="Arial" w:cs="Arial"/>
          <w:sz w:val="20"/>
          <w:szCs w:val="20"/>
        </w:rPr>
        <w:t>4</w:t>
      </w:r>
      <w:r w:rsidR="00117FCA" w:rsidRPr="0016062A">
        <w:rPr>
          <w:rFonts w:ascii="Arial" w:hAnsi="Arial" w:cs="Arial"/>
          <w:sz w:val="20"/>
          <w:szCs w:val="20"/>
        </w:rPr>
        <w:t>7</w:t>
      </w:r>
      <w:r w:rsidRPr="0016062A">
        <w:rPr>
          <w:rFonts w:ascii="Arial" w:hAnsi="Arial" w:cs="Arial"/>
          <w:sz w:val="20"/>
          <w:szCs w:val="20"/>
        </w:rPr>
        <w:t xml:space="preserve">) </w:t>
      </w:r>
      <w:r w:rsidR="002B1696" w:rsidRPr="0016062A">
        <w:rPr>
          <w:rFonts w:ascii="Arial" w:hAnsi="Arial" w:cs="Arial"/>
          <w:sz w:val="20"/>
          <w:szCs w:val="20"/>
        </w:rPr>
        <w:t xml:space="preserve">při </w:t>
      </w:r>
      <w:r w:rsidRPr="0016062A">
        <w:rPr>
          <w:rFonts w:ascii="Arial" w:hAnsi="Arial" w:cs="Arial"/>
          <w:sz w:val="20"/>
          <w:szCs w:val="20"/>
        </w:rPr>
        <w:t>zhodno</w:t>
      </w:r>
      <w:r w:rsidR="002B1696" w:rsidRPr="0016062A">
        <w:rPr>
          <w:rFonts w:ascii="Arial" w:hAnsi="Arial" w:cs="Arial"/>
          <w:sz w:val="20"/>
          <w:szCs w:val="20"/>
        </w:rPr>
        <w:t>cení</w:t>
      </w:r>
      <w:r w:rsidRPr="0016062A">
        <w:rPr>
          <w:rFonts w:ascii="Arial" w:hAnsi="Arial" w:cs="Arial"/>
          <w:sz w:val="20"/>
          <w:szCs w:val="20"/>
        </w:rPr>
        <w:t xml:space="preserve"> pět</w:t>
      </w:r>
      <w:r w:rsidR="002B1696" w:rsidRPr="0016062A">
        <w:rPr>
          <w:rFonts w:ascii="Arial" w:hAnsi="Arial" w:cs="Arial"/>
          <w:sz w:val="20"/>
          <w:szCs w:val="20"/>
        </w:rPr>
        <w:t>i</w:t>
      </w:r>
      <w:r w:rsidRPr="0016062A">
        <w:rPr>
          <w:rFonts w:ascii="Arial" w:hAnsi="Arial" w:cs="Arial"/>
          <w:sz w:val="20"/>
          <w:szCs w:val="20"/>
        </w:rPr>
        <w:t xml:space="preserve"> studií (</w:t>
      </w:r>
      <w:r w:rsidR="004B50EA" w:rsidRPr="0016062A">
        <w:rPr>
          <w:rFonts w:ascii="Arial" w:hAnsi="Arial" w:cs="Arial"/>
          <w:sz w:val="20"/>
          <w:szCs w:val="20"/>
        </w:rPr>
        <w:t>4</w:t>
      </w:r>
      <w:r w:rsidR="00117FCA" w:rsidRPr="0016062A">
        <w:rPr>
          <w:rFonts w:ascii="Arial" w:hAnsi="Arial" w:cs="Arial"/>
          <w:sz w:val="20"/>
          <w:szCs w:val="20"/>
        </w:rPr>
        <w:t>8</w:t>
      </w:r>
      <w:r w:rsidR="00BF463C" w:rsidRPr="0016062A">
        <w:rPr>
          <w:rFonts w:ascii="Arial" w:hAnsi="Arial" w:cs="Arial"/>
          <w:sz w:val="20"/>
          <w:szCs w:val="20"/>
        </w:rPr>
        <w:t>-</w:t>
      </w:r>
      <w:r w:rsidR="004B50EA" w:rsidRPr="0016062A">
        <w:rPr>
          <w:rFonts w:ascii="Arial" w:hAnsi="Arial" w:cs="Arial"/>
          <w:sz w:val="20"/>
          <w:szCs w:val="20"/>
        </w:rPr>
        <w:t>5</w:t>
      </w:r>
      <w:r w:rsidR="00117FCA" w:rsidRPr="0016062A">
        <w:rPr>
          <w:rFonts w:ascii="Arial" w:hAnsi="Arial" w:cs="Arial"/>
          <w:sz w:val="20"/>
          <w:szCs w:val="20"/>
        </w:rPr>
        <w:t>2</w:t>
      </w:r>
      <w:r w:rsidRPr="0016062A">
        <w:rPr>
          <w:rFonts w:ascii="Arial" w:hAnsi="Arial" w:cs="Arial"/>
          <w:sz w:val="20"/>
          <w:szCs w:val="20"/>
        </w:rPr>
        <w:t>) zjistili, že navzdory adekvátnímu zaslepení preferovalo 48</w:t>
      </w:r>
      <w:r w:rsidR="00BF463C" w:rsidRPr="0016062A">
        <w:rPr>
          <w:rFonts w:ascii="Arial" w:hAnsi="Arial" w:cs="Arial"/>
          <w:sz w:val="20"/>
          <w:szCs w:val="20"/>
        </w:rPr>
        <w:t xml:space="preserve"> </w:t>
      </w:r>
      <w:r w:rsidRPr="0016062A">
        <w:rPr>
          <w:rFonts w:ascii="Arial" w:hAnsi="Arial" w:cs="Arial"/>
          <w:sz w:val="20"/>
          <w:szCs w:val="20"/>
        </w:rPr>
        <w:t>% všech pacientů s hypotyreózou kombinovanou terapii, 27</w:t>
      </w:r>
      <w:r w:rsidR="00BF463C" w:rsidRPr="0016062A">
        <w:rPr>
          <w:rFonts w:ascii="Arial" w:hAnsi="Arial" w:cs="Arial"/>
          <w:sz w:val="20"/>
          <w:szCs w:val="20"/>
        </w:rPr>
        <w:t xml:space="preserve"> </w:t>
      </w:r>
      <w:r w:rsidRPr="0016062A">
        <w:rPr>
          <w:rFonts w:ascii="Arial" w:hAnsi="Arial" w:cs="Arial"/>
          <w:sz w:val="20"/>
          <w:szCs w:val="20"/>
        </w:rPr>
        <w:t>% preferovalo monoterapii LT4 a 25</w:t>
      </w:r>
      <w:r w:rsidR="00BF463C" w:rsidRPr="0016062A">
        <w:rPr>
          <w:rFonts w:ascii="Arial" w:hAnsi="Arial" w:cs="Arial"/>
          <w:sz w:val="20"/>
          <w:szCs w:val="20"/>
        </w:rPr>
        <w:t xml:space="preserve"> </w:t>
      </w:r>
      <w:r w:rsidRPr="0016062A">
        <w:rPr>
          <w:rFonts w:ascii="Arial" w:hAnsi="Arial" w:cs="Arial"/>
          <w:sz w:val="20"/>
          <w:szCs w:val="20"/>
        </w:rPr>
        <w:t>% nemělo žádnou preferenci.</w:t>
      </w:r>
      <w:r w:rsidR="0086296B" w:rsidRPr="0016062A">
        <w:rPr>
          <w:rFonts w:ascii="Arial" w:hAnsi="Arial" w:cs="Arial"/>
          <w:sz w:val="20"/>
          <w:szCs w:val="20"/>
        </w:rPr>
        <w:t xml:space="preserve"> </w:t>
      </w:r>
      <w:r w:rsidR="00F751ED" w:rsidRPr="0016062A">
        <w:rPr>
          <w:rFonts w:ascii="Arial" w:hAnsi="Arial" w:cs="Arial"/>
          <w:sz w:val="20"/>
          <w:szCs w:val="20"/>
        </w:rPr>
        <w:t>V jiné</w:t>
      </w:r>
      <w:r w:rsidR="00CC620C" w:rsidRPr="0016062A">
        <w:rPr>
          <w:rFonts w:ascii="Arial" w:hAnsi="Arial" w:cs="Arial"/>
          <w:sz w:val="20"/>
          <w:szCs w:val="20"/>
        </w:rPr>
        <w:t xml:space="preserve"> studi</w:t>
      </w:r>
      <w:r w:rsidR="00F751ED" w:rsidRPr="0016062A">
        <w:rPr>
          <w:rFonts w:ascii="Arial" w:hAnsi="Arial" w:cs="Arial"/>
          <w:sz w:val="20"/>
          <w:szCs w:val="20"/>
        </w:rPr>
        <w:t>i, která</w:t>
      </w:r>
      <w:r w:rsidR="00CC620C" w:rsidRPr="0016062A">
        <w:rPr>
          <w:rFonts w:ascii="Arial" w:hAnsi="Arial" w:cs="Arial"/>
          <w:sz w:val="20"/>
          <w:szCs w:val="20"/>
        </w:rPr>
        <w:t xml:space="preserve"> srovnávala skupinu </w:t>
      </w:r>
      <w:r w:rsidR="001F142F" w:rsidRPr="0016062A">
        <w:rPr>
          <w:rFonts w:ascii="Arial" w:hAnsi="Arial" w:cs="Arial"/>
          <w:sz w:val="20"/>
          <w:szCs w:val="20"/>
        </w:rPr>
        <w:t xml:space="preserve">pacientů </w:t>
      </w:r>
      <w:r w:rsidR="00CC620C" w:rsidRPr="0016062A">
        <w:rPr>
          <w:rFonts w:ascii="Arial" w:hAnsi="Arial" w:cs="Arial"/>
          <w:sz w:val="20"/>
          <w:szCs w:val="20"/>
        </w:rPr>
        <w:t xml:space="preserve">léčených LT4 </w:t>
      </w:r>
      <w:r w:rsidR="001F142F" w:rsidRPr="0016062A">
        <w:rPr>
          <w:rFonts w:ascii="Arial" w:hAnsi="Arial" w:cs="Arial"/>
          <w:sz w:val="20"/>
          <w:szCs w:val="20"/>
        </w:rPr>
        <w:t>s pacienty</w:t>
      </w:r>
      <w:r w:rsidR="00CC620C" w:rsidRPr="0016062A">
        <w:rPr>
          <w:rFonts w:ascii="Arial" w:hAnsi="Arial" w:cs="Arial"/>
          <w:sz w:val="20"/>
          <w:szCs w:val="20"/>
        </w:rPr>
        <w:t xml:space="preserve"> užívající</w:t>
      </w:r>
      <w:r w:rsidR="001F142F" w:rsidRPr="0016062A">
        <w:rPr>
          <w:rFonts w:ascii="Arial" w:hAnsi="Arial" w:cs="Arial"/>
          <w:sz w:val="20"/>
          <w:szCs w:val="20"/>
        </w:rPr>
        <w:t>mi</w:t>
      </w:r>
      <w:r w:rsidR="00CC620C" w:rsidRPr="0016062A">
        <w:rPr>
          <w:rFonts w:ascii="Arial" w:hAnsi="Arial" w:cs="Arial"/>
          <w:sz w:val="20"/>
          <w:szCs w:val="20"/>
        </w:rPr>
        <w:t xml:space="preserve"> kombinovanou terapii</w:t>
      </w:r>
      <w:r w:rsidR="006F1295" w:rsidRPr="0016062A">
        <w:rPr>
          <w:rFonts w:ascii="Arial" w:hAnsi="Arial" w:cs="Arial"/>
          <w:sz w:val="20"/>
          <w:szCs w:val="20"/>
        </w:rPr>
        <w:t xml:space="preserve"> (N</w:t>
      </w:r>
      <w:r w:rsidR="00F751ED" w:rsidRPr="0016062A">
        <w:rPr>
          <w:rFonts w:ascii="Arial" w:hAnsi="Arial" w:cs="Arial"/>
          <w:sz w:val="20"/>
          <w:szCs w:val="20"/>
        </w:rPr>
        <w:t>=75)</w:t>
      </w:r>
      <w:r w:rsidR="00CC620C" w:rsidRPr="0016062A">
        <w:rPr>
          <w:rFonts w:ascii="Arial" w:hAnsi="Arial" w:cs="Arial"/>
          <w:sz w:val="20"/>
          <w:szCs w:val="20"/>
        </w:rPr>
        <w:t>,</w:t>
      </w:r>
      <w:r w:rsidR="00F751ED" w:rsidRPr="0016062A">
        <w:rPr>
          <w:rFonts w:ascii="Arial" w:hAnsi="Arial" w:cs="Arial"/>
          <w:sz w:val="20"/>
          <w:szCs w:val="20"/>
        </w:rPr>
        <w:t xml:space="preserve"> se</w:t>
      </w:r>
      <w:r w:rsidR="00CC620C" w:rsidRPr="0016062A">
        <w:rPr>
          <w:rFonts w:ascii="Arial" w:hAnsi="Arial" w:cs="Arial"/>
          <w:sz w:val="20"/>
          <w:szCs w:val="20"/>
        </w:rPr>
        <w:t xml:space="preserve"> ale</w:t>
      </w:r>
      <w:r w:rsidR="001F142F" w:rsidRPr="0016062A">
        <w:rPr>
          <w:rFonts w:ascii="Arial" w:hAnsi="Arial" w:cs="Arial"/>
          <w:sz w:val="20"/>
          <w:szCs w:val="20"/>
        </w:rPr>
        <w:t xml:space="preserve"> rozdíl v preferencích terapie mezi těmito skupinami</w:t>
      </w:r>
      <w:r w:rsidR="00BF463C" w:rsidRPr="0016062A">
        <w:rPr>
          <w:rFonts w:ascii="Arial" w:hAnsi="Arial" w:cs="Arial"/>
          <w:sz w:val="20"/>
          <w:szCs w:val="20"/>
        </w:rPr>
        <w:t xml:space="preserve"> </w:t>
      </w:r>
      <w:r w:rsidR="00F751ED" w:rsidRPr="0016062A">
        <w:rPr>
          <w:rFonts w:ascii="Arial" w:hAnsi="Arial" w:cs="Arial"/>
          <w:sz w:val="20"/>
          <w:szCs w:val="20"/>
        </w:rPr>
        <w:t xml:space="preserve">neprokázal </w:t>
      </w:r>
      <w:r w:rsidR="00BF463C" w:rsidRPr="0016062A">
        <w:rPr>
          <w:rFonts w:ascii="Arial" w:hAnsi="Arial" w:cs="Arial"/>
          <w:sz w:val="20"/>
          <w:szCs w:val="20"/>
        </w:rPr>
        <w:t>a nezlepšily se ani</w:t>
      </w:r>
      <w:r w:rsidR="001F142F" w:rsidRPr="0016062A">
        <w:rPr>
          <w:rFonts w:ascii="Arial" w:hAnsi="Arial" w:cs="Arial"/>
          <w:sz w:val="20"/>
          <w:szCs w:val="20"/>
        </w:rPr>
        <w:t xml:space="preserve"> symptomy</w:t>
      </w:r>
      <w:r w:rsidR="00BF463C" w:rsidRPr="0016062A">
        <w:rPr>
          <w:rFonts w:ascii="Arial" w:hAnsi="Arial" w:cs="Arial"/>
          <w:sz w:val="20"/>
          <w:szCs w:val="20"/>
        </w:rPr>
        <w:t xml:space="preserve"> pacientů</w:t>
      </w:r>
      <w:r w:rsidR="00CF704E" w:rsidRPr="0016062A">
        <w:rPr>
          <w:rFonts w:ascii="Arial" w:hAnsi="Arial" w:cs="Arial"/>
          <w:sz w:val="20"/>
          <w:szCs w:val="20"/>
        </w:rPr>
        <w:t xml:space="preserve"> (hodnocené</w:t>
      </w:r>
      <w:r w:rsidR="001F142F" w:rsidRPr="0016062A">
        <w:rPr>
          <w:rFonts w:ascii="Arial" w:hAnsi="Arial" w:cs="Arial"/>
          <w:sz w:val="20"/>
          <w:szCs w:val="20"/>
        </w:rPr>
        <w:t xml:space="preserve"> dotazníkem) (</w:t>
      </w:r>
      <w:r w:rsidR="004B50EA" w:rsidRPr="0016062A">
        <w:rPr>
          <w:rFonts w:ascii="Arial" w:hAnsi="Arial" w:cs="Arial"/>
          <w:sz w:val="20"/>
          <w:szCs w:val="20"/>
        </w:rPr>
        <w:t>5</w:t>
      </w:r>
      <w:r w:rsidR="00117FCA" w:rsidRPr="0016062A">
        <w:rPr>
          <w:rFonts w:ascii="Arial" w:hAnsi="Arial" w:cs="Arial"/>
          <w:sz w:val="20"/>
          <w:szCs w:val="20"/>
        </w:rPr>
        <w:t>3</w:t>
      </w:r>
      <w:r w:rsidR="001F142F" w:rsidRPr="0016062A">
        <w:rPr>
          <w:rFonts w:ascii="Arial" w:hAnsi="Arial" w:cs="Arial"/>
          <w:sz w:val="20"/>
          <w:szCs w:val="20"/>
        </w:rPr>
        <w:t>).</w:t>
      </w:r>
    </w:p>
    <w:p w14:paraId="5F796419" w14:textId="77777777" w:rsidR="00B3446B" w:rsidRPr="0016062A" w:rsidRDefault="00B3446B" w:rsidP="00A944EE">
      <w:pPr>
        <w:rPr>
          <w:rFonts w:ascii="Arial" w:hAnsi="Arial" w:cs="Arial"/>
          <w:sz w:val="20"/>
          <w:szCs w:val="20"/>
        </w:rPr>
      </w:pPr>
    </w:p>
    <w:p w14:paraId="750A8929" w14:textId="260A258E" w:rsidR="009B7A41" w:rsidRPr="0016062A" w:rsidRDefault="009B7A41" w:rsidP="00A944EE">
      <w:pPr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>Závěr</w:t>
      </w:r>
    </w:p>
    <w:p w14:paraId="4561DDEA" w14:textId="0E8D2D24" w:rsidR="00943ABE" w:rsidRPr="0016062A" w:rsidRDefault="004B50EA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Současným standardem v léčbě hypotyreózy zůstává </w:t>
      </w:r>
      <w:proofErr w:type="spellStart"/>
      <w:r w:rsidRPr="0016062A">
        <w:rPr>
          <w:rFonts w:ascii="Arial" w:hAnsi="Arial" w:cs="Arial"/>
          <w:sz w:val="20"/>
          <w:szCs w:val="20"/>
        </w:rPr>
        <w:t>monoterapie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062A">
        <w:rPr>
          <w:rFonts w:ascii="Arial" w:hAnsi="Arial" w:cs="Arial"/>
          <w:sz w:val="20"/>
          <w:szCs w:val="20"/>
        </w:rPr>
        <w:t>levotyroxinem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. </w:t>
      </w:r>
      <w:r w:rsidR="00943ABE" w:rsidRPr="0016062A">
        <w:rPr>
          <w:rFonts w:ascii="Arial" w:hAnsi="Arial" w:cs="Arial"/>
          <w:sz w:val="20"/>
          <w:szCs w:val="20"/>
        </w:rPr>
        <w:t xml:space="preserve">Navzdory laboratorní </w:t>
      </w:r>
      <w:proofErr w:type="spellStart"/>
      <w:r w:rsidR="00943ABE" w:rsidRPr="0016062A">
        <w:rPr>
          <w:rFonts w:ascii="Arial" w:hAnsi="Arial" w:cs="Arial"/>
          <w:sz w:val="20"/>
          <w:szCs w:val="20"/>
        </w:rPr>
        <w:t>eutyreóze</w:t>
      </w:r>
      <w:proofErr w:type="spellEnd"/>
      <w:r w:rsidR="00943ABE" w:rsidRPr="0016062A">
        <w:rPr>
          <w:rFonts w:ascii="Arial" w:hAnsi="Arial" w:cs="Arial"/>
          <w:sz w:val="20"/>
          <w:szCs w:val="20"/>
        </w:rPr>
        <w:t xml:space="preserve"> vykazuje </w:t>
      </w:r>
      <w:r w:rsidR="00CF704E" w:rsidRPr="0016062A">
        <w:rPr>
          <w:rFonts w:ascii="Arial" w:hAnsi="Arial" w:cs="Arial"/>
          <w:sz w:val="20"/>
          <w:szCs w:val="20"/>
        </w:rPr>
        <w:t>až</w:t>
      </w:r>
      <w:r w:rsidR="00943ABE" w:rsidRPr="0016062A">
        <w:rPr>
          <w:rFonts w:ascii="Arial" w:hAnsi="Arial" w:cs="Arial"/>
          <w:sz w:val="20"/>
          <w:szCs w:val="20"/>
        </w:rPr>
        <w:t xml:space="preserve"> 10-15</w:t>
      </w:r>
      <w:r w:rsidR="00CF704E" w:rsidRPr="0016062A">
        <w:rPr>
          <w:rFonts w:ascii="Arial" w:hAnsi="Arial" w:cs="Arial"/>
          <w:sz w:val="20"/>
          <w:szCs w:val="20"/>
        </w:rPr>
        <w:t xml:space="preserve"> </w:t>
      </w:r>
      <w:r w:rsidR="00943ABE" w:rsidRPr="0016062A">
        <w:rPr>
          <w:rFonts w:ascii="Arial" w:hAnsi="Arial" w:cs="Arial"/>
          <w:sz w:val="20"/>
          <w:szCs w:val="20"/>
        </w:rPr>
        <w:t>% pacientů přetrvávající symptomatologii, což vede k diskusím o potenciálním přínosu kombinované substituce</w:t>
      </w:r>
      <w:r w:rsidR="00C746CE" w:rsidRPr="0016062A">
        <w:rPr>
          <w:rFonts w:ascii="Arial" w:hAnsi="Arial" w:cs="Arial"/>
          <w:sz w:val="20"/>
          <w:szCs w:val="20"/>
        </w:rPr>
        <w:t xml:space="preserve"> (22, 23)</w:t>
      </w:r>
      <w:r w:rsidR="00943ABE" w:rsidRPr="0016062A">
        <w:rPr>
          <w:rFonts w:ascii="Arial" w:hAnsi="Arial" w:cs="Arial"/>
          <w:sz w:val="20"/>
          <w:szCs w:val="20"/>
        </w:rPr>
        <w:t xml:space="preserve">. Hlavní překážkou širšího využití </w:t>
      </w:r>
      <w:proofErr w:type="spellStart"/>
      <w:r w:rsidR="00943ABE" w:rsidRPr="0016062A">
        <w:rPr>
          <w:rFonts w:ascii="Arial" w:hAnsi="Arial" w:cs="Arial"/>
          <w:sz w:val="20"/>
          <w:szCs w:val="20"/>
        </w:rPr>
        <w:t>liothyroninu</w:t>
      </w:r>
      <w:proofErr w:type="spellEnd"/>
      <w:r w:rsidR="00943ABE" w:rsidRPr="0016062A">
        <w:rPr>
          <w:rFonts w:ascii="Arial" w:hAnsi="Arial" w:cs="Arial"/>
          <w:sz w:val="20"/>
          <w:szCs w:val="20"/>
        </w:rPr>
        <w:t xml:space="preserve"> jsou jeho nepříznivé farmakokinetické vlastnosti, zejména krátký biologický poločas, který způsobuje nefyziologické kolísání sérových koncentrací T3. Do budoucna by mohla být řešením </w:t>
      </w:r>
      <w:r w:rsidR="00C746CE" w:rsidRPr="0016062A">
        <w:rPr>
          <w:rFonts w:ascii="Arial" w:hAnsi="Arial" w:cs="Arial"/>
          <w:sz w:val="20"/>
          <w:szCs w:val="20"/>
        </w:rPr>
        <w:t xml:space="preserve">retardovaná forma </w:t>
      </w:r>
      <w:r w:rsidR="00943ABE" w:rsidRPr="0016062A">
        <w:rPr>
          <w:rFonts w:ascii="Arial" w:hAnsi="Arial" w:cs="Arial"/>
          <w:sz w:val="20"/>
          <w:szCs w:val="20"/>
        </w:rPr>
        <w:t xml:space="preserve">LT3, </w:t>
      </w:r>
      <w:r w:rsidR="00C746CE" w:rsidRPr="0016062A">
        <w:rPr>
          <w:rFonts w:ascii="Arial" w:hAnsi="Arial" w:cs="Arial"/>
          <w:sz w:val="20"/>
          <w:szCs w:val="20"/>
        </w:rPr>
        <w:t>u níž však v současnosti teprve probíhají klinické studie.</w:t>
      </w:r>
    </w:p>
    <w:p w14:paraId="0A5FABDE" w14:textId="6796659B" w:rsidR="00605E73" w:rsidRPr="0016062A" w:rsidRDefault="00C746CE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Česká endokrinologická společnost (ČES), v souladu s aktuálními doporučeními americké (ATA), evropské (ETA) a britské (BTA) asociace pro štítnou žlázu, nedoporučuje rutinní užívání </w:t>
      </w:r>
      <w:r w:rsidR="00183084" w:rsidRPr="0016062A">
        <w:rPr>
          <w:rFonts w:ascii="Arial" w:hAnsi="Arial" w:cs="Arial"/>
          <w:sz w:val="20"/>
          <w:szCs w:val="20"/>
        </w:rPr>
        <w:t xml:space="preserve">T3 </w:t>
      </w:r>
      <w:r w:rsidR="00C04FDC" w:rsidRPr="0016062A">
        <w:rPr>
          <w:rFonts w:ascii="Arial" w:hAnsi="Arial" w:cs="Arial"/>
          <w:sz w:val="20"/>
          <w:szCs w:val="20"/>
        </w:rPr>
        <w:t xml:space="preserve">ani </w:t>
      </w:r>
      <w:r w:rsidRPr="0016062A">
        <w:rPr>
          <w:rFonts w:ascii="Arial" w:hAnsi="Arial" w:cs="Arial"/>
          <w:sz w:val="20"/>
          <w:szCs w:val="20"/>
        </w:rPr>
        <w:t>kombinovaných přípravků v klinické praxi</w:t>
      </w:r>
      <w:r w:rsidR="00C31A02" w:rsidRPr="0016062A">
        <w:rPr>
          <w:rFonts w:ascii="Arial" w:hAnsi="Arial" w:cs="Arial"/>
          <w:sz w:val="20"/>
          <w:szCs w:val="20"/>
        </w:rPr>
        <w:t xml:space="preserve"> (5</w:t>
      </w:r>
      <w:r w:rsidR="003636EF">
        <w:rPr>
          <w:rFonts w:ascii="Arial" w:hAnsi="Arial" w:cs="Arial"/>
          <w:sz w:val="20"/>
          <w:szCs w:val="20"/>
        </w:rPr>
        <w:t>4</w:t>
      </w:r>
      <w:r w:rsidR="00C31A02" w:rsidRPr="0016062A">
        <w:rPr>
          <w:rFonts w:ascii="Arial" w:hAnsi="Arial" w:cs="Arial"/>
          <w:sz w:val="20"/>
          <w:szCs w:val="20"/>
        </w:rPr>
        <w:t>, 5</w:t>
      </w:r>
      <w:r w:rsidR="003636EF">
        <w:rPr>
          <w:rFonts w:ascii="Arial" w:hAnsi="Arial" w:cs="Arial"/>
          <w:sz w:val="20"/>
          <w:szCs w:val="20"/>
        </w:rPr>
        <w:t>5</w:t>
      </w:r>
      <w:r w:rsidR="00C31A02" w:rsidRPr="0016062A">
        <w:rPr>
          <w:rFonts w:ascii="Arial" w:hAnsi="Arial" w:cs="Arial"/>
          <w:sz w:val="20"/>
          <w:szCs w:val="20"/>
        </w:rPr>
        <w:t>, 5</w:t>
      </w:r>
      <w:r w:rsidR="003636EF">
        <w:rPr>
          <w:rFonts w:ascii="Arial" w:hAnsi="Arial" w:cs="Arial"/>
          <w:sz w:val="20"/>
          <w:szCs w:val="20"/>
        </w:rPr>
        <w:t>6</w:t>
      </w:r>
      <w:r w:rsidR="00C31A02" w:rsidRPr="0016062A">
        <w:rPr>
          <w:rFonts w:ascii="Arial" w:hAnsi="Arial" w:cs="Arial"/>
          <w:sz w:val="20"/>
          <w:szCs w:val="20"/>
        </w:rPr>
        <w:t>)</w:t>
      </w:r>
      <w:r w:rsidRPr="0016062A">
        <w:rPr>
          <w:rFonts w:ascii="Arial" w:hAnsi="Arial" w:cs="Arial"/>
          <w:sz w:val="20"/>
          <w:szCs w:val="20"/>
        </w:rPr>
        <w:t>. Hlavním důvodem je absence jednoznačných důkazů o dlouhodobé bezpečnosti a efektivitě této terapie. Vzhledem k</w:t>
      </w:r>
      <w:r w:rsidR="008161F1" w:rsidRPr="0016062A">
        <w:rPr>
          <w:rFonts w:ascii="Arial" w:hAnsi="Arial" w:cs="Arial"/>
          <w:sz w:val="20"/>
          <w:szCs w:val="20"/>
        </w:rPr>
        <w:t xml:space="preserve"> možným </w:t>
      </w:r>
      <w:r w:rsidRPr="0016062A">
        <w:rPr>
          <w:rFonts w:ascii="Arial" w:hAnsi="Arial" w:cs="Arial"/>
          <w:sz w:val="20"/>
          <w:szCs w:val="20"/>
        </w:rPr>
        <w:t xml:space="preserve">popsaným rizikům (osteoporóza, fibrilace síní, riziko pro plod) </w:t>
      </w:r>
      <w:r w:rsidR="006A121C" w:rsidRPr="0016062A">
        <w:rPr>
          <w:rFonts w:ascii="Arial" w:hAnsi="Arial" w:cs="Arial"/>
          <w:sz w:val="20"/>
          <w:szCs w:val="20"/>
        </w:rPr>
        <w:t xml:space="preserve">a nedostatku důkazů o </w:t>
      </w:r>
      <w:r w:rsidR="006A519E" w:rsidRPr="0016062A">
        <w:rPr>
          <w:rFonts w:ascii="Arial" w:hAnsi="Arial" w:cs="Arial"/>
          <w:sz w:val="20"/>
          <w:szCs w:val="20"/>
        </w:rPr>
        <w:t>efektivitě léčby</w:t>
      </w:r>
      <w:r w:rsidR="006A121C" w:rsidRPr="0016062A">
        <w:rPr>
          <w:rFonts w:ascii="Arial" w:hAnsi="Arial" w:cs="Arial"/>
          <w:sz w:val="20"/>
          <w:szCs w:val="20"/>
        </w:rPr>
        <w:t xml:space="preserve"> </w:t>
      </w:r>
      <w:r w:rsidRPr="0016062A">
        <w:rPr>
          <w:rFonts w:ascii="Arial" w:hAnsi="Arial" w:cs="Arial"/>
          <w:sz w:val="20"/>
          <w:szCs w:val="20"/>
        </w:rPr>
        <w:t>zůstává v současné době kombinovaná terapie nestandardním terapeutickým postupem.</w:t>
      </w:r>
    </w:p>
    <w:p w14:paraId="2AEAE189" w14:textId="77777777" w:rsidR="00605E73" w:rsidRPr="0016062A" w:rsidRDefault="00605E73" w:rsidP="00A944EE">
      <w:pPr>
        <w:rPr>
          <w:rFonts w:ascii="Arial" w:hAnsi="Arial" w:cs="Arial"/>
          <w:sz w:val="20"/>
          <w:szCs w:val="20"/>
        </w:rPr>
      </w:pPr>
    </w:p>
    <w:p w14:paraId="16558B62" w14:textId="798E66CE" w:rsidR="000F31E2" w:rsidRPr="0016062A" w:rsidRDefault="00605E73" w:rsidP="00A944EE">
      <w:pPr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lastRenderedPageBreak/>
        <w:t>Obr. 1 Efekt liothyroninu na sérové koncentrace tyreo</w:t>
      </w:r>
      <w:r w:rsidR="00C04FDC" w:rsidRPr="0016062A">
        <w:rPr>
          <w:rFonts w:ascii="Arial" w:hAnsi="Arial" w:cs="Arial"/>
          <w:b/>
          <w:bCs/>
          <w:sz w:val="20"/>
          <w:szCs w:val="20"/>
        </w:rPr>
        <w:t>i</w:t>
      </w:r>
      <w:r w:rsidRPr="0016062A">
        <w:rPr>
          <w:rFonts w:ascii="Arial" w:hAnsi="Arial" w:cs="Arial"/>
          <w:b/>
          <w:bCs/>
          <w:sz w:val="20"/>
          <w:szCs w:val="20"/>
        </w:rPr>
        <w:t>dálních hormonů.</w:t>
      </w:r>
    </w:p>
    <w:p w14:paraId="3BD19029" w14:textId="77777777" w:rsidR="000013D2" w:rsidRPr="0016062A" w:rsidRDefault="000013D2" w:rsidP="00A944EE">
      <w:pPr>
        <w:rPr>
          <w:rFonts w:ascii="Arial" w:hAnsi="Arial" w:cs="Arial"/>
          <w:b/>
          <w:bCs/>
          <w:sz w:val="20"/>
          <w:szCs w:val="20"/>
        </w:rPr>
      </w:pPr>
    </w:p>
    <w:p w14:paraId="1095DF8B" w14:textId="152E372D" w:rsidR="000F31E2" w:rsidRPr="0016062A" w:rsidRDefault="000F31E2" w:rsidP="00A944EE">
      <w:pPr>
        <w:rPr>
          <w:rFonts w:ascii="Arial" w:hAnsi="Arial" w:cs="Arial"/>
          <w:sz w:val="20"/>
          <w:szCs w:val="20"/>
        </w:rPr>
      </w:pPr>
      <w:r w:rsidRPr="0016062A">
        <w:fldChar w:fldCharType="begin"/>
      </w:r>
      <w:r w:rsidR="00ED18C7" w:rsidRPr="0016062A">
        <w:instrText xml:space="preserve"> INCLUDEPICTURE "C:\\Users\\hanavitkova\\Library\\Group Containers\\UBF8T346G9.ms\\WebArchiveCopyPasteTempFiles\\com.microsoft.Word\\figure3.jpeg" \* MERGEFORMAT </w:instrText>
      </w:r>
      <w:r w:rsidRPr="0016062A">
        <w:fldChar w:fldCharType="separate"/>
      </w:r>
      <w:r w:rsidRPr="0016062A">
        <w:rPr>
          <w:noProof/>
        </w:rPr>
        <w:drawing>
          <wp:inline distT="0" distB="0" distL="0" distR="0" wp14:anchorId="68D103C0" wp14:editId="41F4BE73">
            <wp:extent cx="5437761" cy="5022721"/>
            <wp:effectExtent l="0" t="0" r="0" b="0"/>
            <wp:docPr id="1159383426" name="Obrázek 1" descr="Daily Administration of Short-Acting Liothyronine Is Associated with  Significant Triiodothyronine Excursions and Fails to Alter  Thyroid-Responsive Parameters | Thyroid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ly Administration of Short-Acting Liothyronine Is Associated with  Significant Triiodothyronine Excursions and Fails to Alter  Thyroid-Responsive Parameters | Thyroid®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24" cy="504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62A">
        <w:fldChar w:fldCharType="end"/>
      </w:r>
    </w:p>
    <w:p w14:paraId="056DAF42" w14:textId="77777777" w:rsidR="00605E73" w:rsidRPr="0016062A" w:rsidRDefault="00605E73" w:rsidP="00A944EE">
      <w:pPr>
        <w:rPr>
          <w:color w:val="000000" w:themeColor="text1"/>
          <w:sz w:val="20"/>
          <w:szCs w:val="20"/>
        </w:rPr>
      </w:pPr>
    </w:p>
    <w:p w14:paraId="4A83B76B" w14:textId="3805D3D2" w:rsidR="00F37288" w:rsidRPr="0016062A" w:rsidRDefault="00605E73" w:rsidP="00A944EE">
      <w:pPr>
        <w:rPr>
          <w:rFonts w:ascii="Arial" w:hAnsi="Arial" w:cs="Arial"/>
          <w:color w:val="000000" w:themeColor="text1"/>
          <w:sz w:val="20"/>
          <w:szCs w:val="20"/>
        </w:rPr>
      </w:pPr>
      <w:r w:rsidRPr="0016062A">
        <w:rPr>
          <w:rFonts w:ascii="Arial" w:hAnsi="Arial" w:cs="Arial"/>
          <w:color w:val="000000" w:themeColor="text1"/>
          <w:sz w:val="20"/>
          <w:szCs w:val="20"/>
        </w:rPr>
        <w:t xml:space="preserve">Upraveno podle: </w:t>
      </w:r>
      <w:proofErr w:type="spellStart"/>
      <w:r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Jonklaas</w:t>
      </w:r>
      <w:proofErr w:type="spellEnd"/>
      <w:r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J, </w:t>
      </w:r>
      <w:proofErr w:type="spellStart"/>
      <w:r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Burman</w:t>
      </w:r>
      <w:proofErr w:type="spellEnd"/>
      <w:r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DK.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Daily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Administration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of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Short-Acting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Liothyronine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Is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Associated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with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Significant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Triiodothyronine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Excursion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Fails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to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After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Thyroid-Responsive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Parameters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="00F37288" w:rsidRPr="0016062A">
        <w:rPr>
          <w:rStyle w:val="journalname"/>
          <w:rFonts w:ascii="Arial" w:hAnsi="Arial" w:cs="Arial"/>
          <w:i/>
          <w:iCs/>
          <w:color w:val="000000" w:themeColor="text1"/>
          <w:sz w:val="20"/>
          <w:szCs w:val="20"/>
        </w:rPr>
        <w:t xml:space="preserve"> Thyroid</w:t>
      </w:r>
      <w:r w:rsidR="00F37288" w:rsidRPr="0016062A">
        <w:rPr>
          <w:rStyle w:val="apple-converted-space"/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 </w:t>
      </w:r>
      <w:r w:rsidR="00F37288" w:rsidRPr="0016062A">
        <w:rPr>
          <w:rStyle w:val="year"/>
          <w:rFonts w:ascii="Arial" w:hAnsi="Arial" w:cs="Arial"/>
          <w:i/>
          <w:iCs/>
          <w:color w:val="000000" w:themeColor="text1"/>
          <w:sz w:val="20"/>
          <w:szCs w:val="20"/>
        </w:rPr>
        <w:t>2016</w:t>
      </w:r>
      <w:r w:rsidR="00F37288" w:rsidRPr="0016062A">
        <w:rPr>
          <w:rStyle w:val="apple-converted-space"/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 </w:t>
      </w:r>
      <w:r w:rsidR="00F37288" w:rsidRPr="0016062A">
        <w:rPr>
          <w:rStyle w:val="volume"/>
          <w:rFonts w:ascii="Arial" w:hAnsi="Arial" w:cs="Arial"/>
          <w:i/>
          <w:iCs/>
          <w:color w:val="000000" w:themeColor="text1"/>
          <w:sz w:val="20"/>
          <w:szCs w:val="20"/>
        </w:rPr>
        <w:t>26</w:t>
      </w:r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:</w:t>
      </w:r>
      <w:r w:rsidR="00F37288" w:rsidRPr="0016062A">
        <w:rPr>
          <w:rStyle w:val="issue"/>
          <w:rFonts w:ascii="Arial" w:hAnsi="Arial" w:cs="Arial"/>
          <w:i/>
          <w:iCs/>
          <w:color w:val="000000" w:themeColor="text1"/>
          <w:sz w:val="20"/>
          <w:szCs w:val="20"/>
        </w:rPr>
        <w:t>6</w:t>
      </w:r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,</w:t>
      </w:r>
      <w:r w:rsidR="00F37288" w:rsidRPr="0016062A">
        <w:rPr>
          <w:rStyle w:val="apple-converted-space"/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 </w:t>
      </w:r>
      <w:r w:rsidR="00F37288" w:rsidRPr="0016062A">
        <w:rPr>
          <w:rStyle w:val="page"/>
          <w:rFonts w:ascii="Arial" w:hAnsi="Arial" w:cs="Arial"/>
          <w:i/>
          <w:iCs/>
          <w:color w:val="000000" w:themeColor="text1"/>
          <w:sz w:val="20"/>
          <w:szCs w:val="20"/>
        </w:rPr>
        <w:t>770-778.</w:t>
      </w:r>
      <w:r w:rsidR="00F37288" w:rsidRPr="0016062A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</w:p>
    <w:p w14:paraId="0F183290" w14:textId="77777777" w:rsidR="000F31E2" w:rsidRPr="0016062A" w:rsidRDefault="000F31E2" w:rsidP="00A944E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190C9E1" w14:textId="77777777" w:rsidR="000F31E2" w:rsidRPr="0016062A" w:rsidRDefault="000F31E2" w:rsidP="00A944E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AEE1B72" w14:textId="77777777" w:rsidR="000F31E2" w:rsidRPr="0016062A" w:rsidRDefault="000F31E2" w:rsidP="00A944EE">
      <w:pPr>
        <w:rPr>
          <w:rFonts w:ascii="Arial" w:hAnsi="Arial" w:cs="Arial"/>
          <w:sz w:val="20"/>
          <w:szCs w:val="20"/>
        </w:rPr>
      </w:pPr>
    </w:p>
    <w:p w14:paraId="6422BC8B" w14:textId="77777777" w:rsidR="000F31E2" w:rsidRPr="0016062A" w:rsidRDefault="000F31E2" w:rsidP="00A944EE">
      <w:pPr>
        <w:rPr>
          <w:rFonts w:ascii="Arial" w:hAnsi="Arial" w:cs="Arial"/>
          <w:sz w:val="20"/>
          <w:szCs w:val="20"/>
        </w:rPr>
      </w:pPr>
    </w:p>
    <w:p w14:paraId="7F43FB03" w14:textId="77777777" w:rsidR="000F31E2" w:rsidRPr="0016062A" w:rsidRDefault="000F31E2" w:rsidP="00A944EE">
      <w:pPr>
        <w:rPr>
          <w:rFonts w:ascii="Arial" w:hAnsi="Arial" w:cs="Arial"/>
          <w:sz w:val="20"/>
          <w:szCs w:val="20"/>
        </w:rPr>
      </w:pPr>
    </w:p>
    <w:p w14:paraId="50572202" w14:textId="77777777" w:rsidR="000F31E2" w:rsidRPr="0016062A" w:rsidRDefault="000F31E2" w:rsidP="00A944EE"/>
    <w:p w14:paraId="44691D1F" w14:textId="77777777" w:rsidR="00D00B33" w:rsidRPr="0016062A" w:rsidRDefault="00D00B33" w:rsidP="00A944EE"/>
    <w:p w14:paraId="18F5A3F9" w14:textId="77777777" w:rsidR="00312DE1" w:rsidRPr="0016062A" w:rsidRDefault="00312DE1" w:rsidP="00A944EE">
      <w:pPr>
        <w:rPr>
          <w:b/>
          <w:bCs/>
        </w:rPr>
      </w:pPr>
    </w:p>
    <w:p w14:paraId="174F4C46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73CA9AC1" w14:textId="4B4B0017" w:rsidR="00517B0E" w:rsidRPr="0016062A" w:rsidRDefault="00517B0E" w:rsidP="00A944EE">
      <w:pPr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 xml:space="preserve">Tab. 1 Jednotlivé typy a funkce </w:t>
      </w:r>
      <w:proofErr w:type="spellStart"/>
      <w:r w:rsidRPr="0016062A">
        <w:rPr>
          <w:rFonts w:ascii="Arial" w:hAnsi="Arial" w:cs="Arial"/>
          <w:b/>
          <w:bCs/>
          <w:sz w:val="20"/>
          <w:szCs w:val="20"/>
        </w:rPr>
        <w:t>dejodáz</w:t>
      </w:r>
      <w:proofErr w:type="spellEnd"/>
      <w:r w:rsidRPr="0016062A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Style w:val="Mkatabulky"/>
        <w:tblpPr w:leftFromText="141" w:rightFromText="141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2236"/>
        <w:gridCol w:w="2227"/>
        <w:gridCol w:w="2228"/>
        <w:gridCol w:w="2228"/>
      </w:tblGrid>
      <w:tr w:rsidR="00517B0E" w:rsidRPr="0016062A" w14:paraId="7C81C332" w14:textId="77777777" w:rsidTr="00517B0E">
        <w:trPr>
          <w:trHeight w:val="423"/>
        </w:trPr>
        <w:tc>
          <w:tcPr>
            <w:tcW w:w="2265" w:type="dxa"/>
            <w:vAlign w:val="center"/>
          </w:tcPr>
          <w:p w14:paraId="43EF625A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519CE392" w14:textId="77777777" w:rsidR="00517B0E" w:rsidRPr="0016062A" w:rsidRDefault="00517B0E" w:rsidP="00A944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6062A">
              <w:rPr>
                <w:rFonts w:ascii="Arial" w:hAnsi="Arial" w:cs="Arial"/>
                <w:b/>
                <w:bCs/>
                <w:sz w:val="20"/>
                <w:szCs w:val="20"/>
              </w:rPr>
              <w:t>Dejodáza</w:t>
            </w:r>
            <w:proofErr w:type="spellEnd"/>
            <w:r w:rsidRPr="00160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2266" w:type="dxa"/>
            <w:vAlign w:val="center"/>
          </w:tcPr>
          <w:p w14:paraId="0AD33FD1" w14:textId="77777777" w:rsidR="00517B0E" w:rsidRPr="0016062A" w:rsidRDefault="00517B0E" w:rsidP="00A944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6062A">
              <w:rPr>
                <w:rFonts w:ascii="Arial" w:hAnsi="Arial" w:cs="Arial"/>
                <w:b/>
                <w:bCs/>
                <w:sz w:val="20"/>
                <w:szCs w:val="20"/>
              </w:rPr>
              <w:t>Dejodáza</w:t>
            </w:r>
            <w:proofErr w:type="spellEnd"/>
            <w:r w:rsidRPr="00160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2266" w:type="dxa"/>
            <w:vAlign w:val="center"/>
          </w:tcPr>
          <w:p w14:paraId="6543FE5B" w14:textId="77777777" w:rsidR="00517B0E" w:rsidRPr="0016062A" w:rsidRDefault="00517B0E" w:rsidP="00A944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6062A">
              <w:rPr>
                <w:rFonts w:ascii="Arial" w:hAnsi="Arial" w:cs="Arial"/>
                <w:b/>
                <w:bCs/>
                <w:sz w:val="20"/>
                <w:szCs w:val="20"/>
              </w:rPr>
              <w:t>Dejodáza</w:t>
            </w:r>
            <w:proofErr w:type="spellEnd"/>
            <w:r w:rsidRPr="00160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</w:t>
            </w:r>
          </w:p>
        </w:tc>
      </w:tr>
      <w:tr w:rsidR="00517B0E" w:rsidRPr="0016062A" w14:paraId="7323F7F6" w14:textId="77777777" w:rsidTr="00517B0E">
        <w:trPr>
          <w:trHeight w:val="401"/>
        </w:trPr>
        <w:tc>
          <w:tcPr>
            <w:tcW w:w="2265" w:type="dxa"/>
            <w:vAlign w:val="center"/>
          </w:tcPr>
          <w:p w14:paraId="192A42B6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Preferovaný substrát</w:t>
            </w:r>
          </w:p>
        </w:tc>
        <w:tc>
          <w:tcPr>
            <w:tcW w:w="2265" w:type="dxa"/>
            <w:vAlign w:val="center"/>
          </w:tcPr>
          <w:p w14:paraId="054E092D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rT</w:t>
            </w:r>
            <w:proofErr w:type="gramStart"/>
            <w:r w:rsidRPr="0016062A">
              <w:rPr>
                <w:rFonts w:ascii="Arial" w:hAnsi="Arial" w:cs="Arial"/>
                <w:sz w:val="20"/>
                <w:szCs w:val="20"/>
              </w:rPr>
              <w:t>3 &gt;</w:t>
            </w:r>
            <w:proofErr w:type="gramEnd"/>
            <w:r w:rsidRPr="0016062A">
              <w:rPr>
                <w:rFonts w:ascii="Arial" w:hAnsi="Arial" w:cs="Arial"/>
                <w:sz w:val="20"/>
                <w:szCs w:val="20"/>
              </w:rPr>
              <w:t xml:space="preserve"> T4</w:t>
            </w:r>
          </w:p>
        </w:tc>
        <w:tc>
          <w:tcPr>
            <w:tcW w:w="2266" w:type="dxa"/>
            <w:vAlign w:val="center"/>
          </w:tcPr>
          <w:p w14:paraId="1DC2BAA6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T</w:t>
            </w:r>
            <w:proofErr w:type="gramStart"/>
            <w:r w:rsidRPr="0016062A">
              <w:rPr>
                <w:rFonts w:ascii="Arial" w:hAnsi="Arial" w:cs="Arial"/>
                <w:sz w:val="20"/>
                <w:szCs w:val="20"/>
              </w:rPr>
              <w:t>4 &gt;</w:t>
            </w:r>
            <w:proofErr w:type="gramEnd"/>
            <w:r w:rsidRPr="0016062A">
              <w:rPr>
                <w:rFonts w:ascii="Arial" w:hAnsi="Arial" w:cs="Arial"/>
                <w:sz w:val="20"/>
                <w:szCs w:val="20"/>
              </w:rPr>
              <w:t xml:space="preserve"> rT3</w:t>
            </w:r>
          </w:p>
        </w:tc>
        <w:tc>
          <w:tcPr>
            <w:tcW w:w="2266" w:type="dxa"/>
            <w:vAlign w:val="center"/>
          </w:tcPr>
          <w:p w14:paraId="527F27BA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T</w:t>
            </w:r>
            <w:proofErr w:type="gramStart"/>
            <w:r w:rsidRPr="0016062A">
              <w:rPr>
                <w:rFonts w:ascii="Arial" w:hAnsi="Arial" w:cs="Arial"/>
                <w:sz w:val="20"/>
                <w:szCs w:val="20"/>
              </w:rPr>
              <w:t>3 &gt;</w:t>
            </w:r>
            <w:proofErr w:type="gramEnd"/>
            <w:r w:rsidRPr="0016062A">
              <w:rPr>
                <w:rFonts w:ascii="Arial" w:hAnsi="Arial" w:cs="Arial"/>
                <w:sz w:val="20"/>
                <w:szCs w:val="20"/>
              </w:rPr>
              <w:t xml:space="preserve"> T4</w:t>
            </w:r>
          </w:p>
        </w:tc>
      </w:tr>
      <w:tr w:rsidR="00517B0E" w:rsidRPr="0016062A" w14:paraId="0D400D00" w14:textId="77777777" w:rsidTr="00517B0E">
        <w:tc>
          <w:tcPr>
            <w:tcW w:w="2265" w:type="dxa"/>
            <w:vAlign w:val="center"/>
          </w:tcPr>
          <w:p w14:paraId="45ECA010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Lokalizace</w:t>
            </w:r>
          </w:p>
        </w:tc>
        <w:tc>
          <w:tcPr>
            <w:tcW w:w="2265" w:type="dxa"/>
            <w:vAlign w:val="center"/>
          </w:tcPr>
          <w:p w14:paraId="21C55DDB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Játra, ledviny, štítná žláza</w:t>
            </w:r>
          </w:p>
        </w:tc>
        <w:tc>
          <w:tcPr>
            <w:tcW w:w="2266" w:type="dxa"/>
            <w:vAlign w:val="center"/>
          </w:tcPr>
          <w:p w14:paraId="2BAE5E72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Hypofýza, CNS, hnědá tuková tkáň, kůže srdce</w:t>
            </w:r>
          </w:p>
        </w:tc>
        <w:tc>
          <w:tcPr>
            <w:tcW w:w="2266" w:type="dxa"/>
            <w:vAlign w:val="center"/>
          </w:tcPr>
          <w:p w14:paraId="5B6A049E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CNS, kůže, placenta, tumory</w:t>
            </w:r>
          </w:p>
        </w:tc>
      </w:tr>
      <w:tr w:rsidR="00517B0E" w:rsidRPr="0016062A" w14:paraId="41C71D16" w14:textId="77777777" w:rsidTr="00517B0E">
        <w:trPr>
          <w:trHeight w:val="456"/>
        </w:trPr>
        <w:tc>
          <w:tcPr>
            <w:tcW w:w="2265" w:type="dxa"/>
            <w:vAlign w:val="center"/>
          </w:tcPr>
          <w:p w14:paraId="6D3F662E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Hypotyreóza</w:t>
            </w:r>
          </w:p>
        </w:tc>
        <w:tc>
          <w:tcPr>
            <w:tcW w:w="2265" w:type="dxa"/>
            <w:vAlign w:val="center"/>
          </w:tcPr>
          <w:p w14:paraId="343FE0DB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  <w:tc>
          <w:tcPr>
            <w:tcW w:w="2266" w:type="dxa"/>
            <w:vAlign w:val="center"/>
          </w:tcPr>
          <w:p w14:paraId="11A20C00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  <w:tc>
          <w:tcPr>
            <w:tcW w:w="2266" w:type="dxa"/>
            <w:vAlign w:val="center"/>
          </w:tcPr>
          <w:p w14:paraId="10B318B2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17B0E" w:rsidRPr="0016062A" w14:paraId="2F3CFE29" w14:textId="77777777" w:rsidTr="00517B0E">
        <w:trPr>
          <w:trHeight w:val="420"/>
        </w:trPr>
        <w:tc>
          <w:tcPr>
            <w:tcW w:w="2265" w:type="dxa"/>
            <w:vAlign w:val="center"/>
          </w:tcPr>
          <w:p w14:paraId="0EB3A638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Hypertyreóza</w:t>
            </w:r>
          </w:p>
        </w:tc>
        <w:tc>
          <w:tcPr>
            <w:tcW w:w="2265" w:type="dxa"/>
            <w:vAlign w:val="center"/>
          </w:tcPr>
          <w:p w14:paraId="1CFC61ED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  <w:tc>
          <w:tcPr>
            <w:tcW w:w="2266" w:type="dxa"/>
            <w:vAlign w:val="center"/>
          </w:tcPr>
          <w:p w14:paraId="194581B0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  <w:tc>
          <w:tcPr>
            <w:tcW w:w="2266" w:type="dxa"/>
            <w:vAlign w:val="center"/>
          </w:tcPr>
          <w:p w14:paraId="1A8D0672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</w:tr>
    </w:tbl>
    <w:p w14:paraId="3E9FDA58" w14:textId="77777777" w:rsidR="00517B0E" w:rsidRPr="0016062A" w:rsidRDefault="00517B0E" w:rsidP="00A944EE">
      <w:pPr>
        <w:rPr>
          <w:rFonts w:ascii="Arial" w:hAnsi="Arial" w:cs="Arial"/>
          <w:sz w:val="20"/>
          <w:szCs w:val="20"/>
        </w:rPr>
      </w:pPr>
    </w:p>
    <w:p w14:paraId="1588421B" w14:textId="77777777" w:rsidR="00517B0E" w:rsidRPr="0016062A" w:rsidRDefault="00517B0E" w:rsidP="00A944EE">
      <w:pPr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 xml:space="preserve">rT3: reverzní </w:t>
      </w:r>
      <w:proofErr w:type="spellStart"/>
      <w:r w:rsidRPr="0016062A">
        <w:rPr>
          <w:rFonts w:ascii="Arial" w:hAnsi="Arial" w:cs="Arial"/>
          <w:sz w:val="20"/>
          <w:szCs w:val="20"/>
        </w:rPr>
        <w:t>trijodthyronin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; T4: tyroxin; T3: </w:t>
      </w:r>
      <w:proofErr w:type="spellStart"/>
      <w:r w:rsidRPr="0016062A">
        <w:rPr>
          <w:rFonts w:ascii="Arial" w:hAnsi="Arial" w:cs="Arial"/>
          <w:sz w:val="20"/>
          <w:szCs w:val="20"/>
        </w:rPr>
        <w:t>trijodthyronin</w:t>
      </w:r>
      <w:proofErr w:type="spellEnd"/>
    </w:p>
    <w:p w14:paraId="275CBB02" w14:textId="0DCF4442" w:rsidR="00517B0E" w:rsidRPr="0016062A" w:rsidRDefault="00517B0E" w:rsidP="00A944EE">
      <w:pPr>
        <w:rPr>
          <w:rFonts w:ascii="Arial" w:hAnsi="Arial" w:cs="Arial"/>
          <w:i/>
          <w:iCs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 xml:space="preserve">Upraveno podle: </w:t>
      </w:r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Jonklaas J, Bianco CA, Bauer JA, </w:t>
      </w:r>
      <w:proofErr w:type="spellStart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Burman</w:t>
      </w:r>
      <w:proofErr w:type="spellEnd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DK, </w:t>
      </w:r>
      <w:proofErr w:type="spellStart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Cappola</w:t>
      </w:r>
      <w:proofErr w:type="spellEnd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RA, </w:t>
      </w:r>
      <w:proofErr w:type="spellStart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Celi</w:t>
      </w:r>
      <w:proofErr w:type="spellEnd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SF, Cooper SD, Kim WB, </w:t>
      </w:r>
      <w:proofErr w:type="spellStart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Peeters</w:t>
      </w:r>
      <w:proofErr w:type="spellEnd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PR, </w:t>
      </w:r>
      <w:proofErr w:type="spellStart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Rosenthal</w:t>
      </w:r>
      <w:proofErr w:type="spellEnd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SM, </w:t>
      </w:r>
      <w:proofErr w:type="spellStart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Sawka</w:t>
      </w:r>
      <w:proofErr w:type="spellEnd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MA. </w:t>
      </w:r>
      <w:hyperlink r:id="rId6" w:history="1"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Guidelines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for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the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Treatment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of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Hypothyroidism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: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Prepared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by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the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American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Thyroid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Association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Task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Force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on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Thyroid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Hormone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Replacement</w:t>
        </w:r>
        <w:proofErr w:type="spellEnd"/>
      </w:hyperlink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. Thyroid 2014 24:12, 1670-1751</w:t>
      </w:r>
    </w:p>
    <w:p w14:paraId="001C0DE4" w14:textId="77777777" w:rsidR="00517B0E" w:rsidRPr="0016062A" w:rsidRDefault="00517B0E" w:rsidP="00A944EE"/>
    <w:p w14:paraId="4F4D8219" w14:textId="77777777" w:rsidR="00517B0E" w:rsidRPr="0016062A" w:rsidRDefault="00517B0E" w:rsidP="00A944EE"/>
    <w:p w14:paraId="408C2580" w14:textId="77777777" w:rsidR="00517B0E" w:rsidRPr="0016062A" w:rsidRDefault="00517B0E" w:rsidP="00A944EE">
      <w:pPr>
        <w:rPr>
          <w:rFonts w:ascii="Arial" w:hAnsi="Arial" w:cs="Arial"/>
          <w:b/>
          <w:bCs/>
          <w:sz w:val="20"/>
          <w:szCs w:val="20"/>
        </w:rPr>
      </w:pPr>
    </w:p>
    <w:p w14:paraId="37CF432D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29967CE9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52C16AB5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43BA3C83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3504F76A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4A24007D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72B4AA1B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3CDE37CE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5AC2D621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5AEB2E1B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4BFA51E7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6AC1FFA6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5F3917A1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07330C09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5201A1C7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3D1CE9A0" w14:textId="77777777" w:rsidR="00517B0E" w:rsidRPr="0016062A" w:rsidRDefault="00517B0E" w:rsidP="00A944EE">
      <w:pPr>
        <w:rPr>
          <w:rFonts w:ascii="Arial" w:hAnsi="Arial" w:cs="Arial"/>
          <w:b/>
          <w:bCs/>
          <w:sz w:val="20"/>
          <w:szCs w:val="20"/>
        </w:rPr>
      </w:pPr>
    </w:p>
    <w:p w14:paraId="0D7EF6F2" w14:textId="77777777" w:rsidR="00517B0E" w:rsidRPr="0016062A" w:rsidRDefault="00517B0E" w:rsidP="00A944EE">
      <w:pPr>
        <w:rPr>
          <w:rFonts w:ascii="Arial" w:hAnsi="Arial" w:cs="Arial"/>
          <w:b/>
          <w:bCs/>
          <w:sz w:val="20"/>
          <w:szCs w:val="20"/>
        </w:rPr>
      </w:pPr>
    </w:p>
    <w:p w14:paraId="7A61FAA7" w14:textId="69BD2D71" w:rsidR="00312DE1" w:rsidRPr="0016062A" w:rsidRDefault="004F5364" w:rsidP="00A944EE">
      <w:pPr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lastRenderedPageBreak/>
        <w:t>Literatura</w:t>
      </w:r>
    </w:p>
    <w:p w14:paraId="45F50E5B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bookmarkStart w:id="0" w:name="_Hlk224317613"/>
      <w:proofErr w:type="spellStart"/>
      <w:r w:rsidRPr="0016062A">
        <w:rPr>
          <w:rFonts w:ascii="Arial" w:hAnsi="Arial" w:cs="Arial"/>
          <w:sz w:val="18"/>
          <w:szCs w:val="18"/>
        </w:rPr>
        <w:t>Antonelli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A, Elia G, </w:t>
      </w:r>
      <w:proofErr w:type="spellStart"/>
      <w:r w:rsidRPr="0016062A">
        <w:rPr>
          <w:rFonts w:ascii="Arial" w:hAnsi="Arial" w:cs="Arial"/>
          <w:sz w:val="18"/>
          <w:szCs w:val="18"/>
        </w:rPr>
        <w:t>Ragusa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F, </w:t>
      </w:r>
      <w:proofErr w:type="spellStart"/>
      <w:r w:rsidRPr="0016062A">
        <w:rPr>
          <w:rFonts w:ascii="Arial" w:hAnsi="Arial" w:cs="Arial"/>
          <w:sz w:val="18"/>
          <w:szCs w:val="18"/>
        </w:rPr>
        <w:t>Paparo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SR, </w:t>
      </w:r>
      <w:proofErr w:type="spellStart"/>
      <w:r w:rsidRPr="0016062A">
        <w:rPr>
          <w:rFonts w:ascii="Arial" w:hAnsi="Arial" w:cs="Arial"/>
          <w:sz w:val="18"/>
          <w:szCs w:val="18"/>
        </w:rPr>
        <w:t>Cavallini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G, </w:t>
      </w:r>
      <w:proofErr w:type="spellStart"/>
      <w:r w:rsidRPr="0016062A">
        <w:rPr>
          <w:rFonts w:ascii="Arial" w:hAnsi="Arial" w:cs="Arial"/>
          <w:sz w:val="18"/>
          <w:szCs w:val="18"/>
        </w:rPr>
        <w:t>Benvenga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S, et al. </w:t>
      </w:r>
      <w:proofErr w:type="spellStart"/>
      <w:r w:rsidRPr="0016062A">
        <w:rPr>
          <w:rFonts w:ascii="Arial" w:hAnsi="Arial" w:cs="Arial"/>
          <w:sz w:val="18"/>
          <w:szCs w:val="18"/>
        </w:rPr>
        <w:t>The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stability </w:t>
      </w:r>
      <w:proofErr w:type="spellStart"/>
      <w:r w:rsidRPr="0016062A">
        <w:rPr>
          <w:rFonts w:ascii="Arial" w:hAnsi="Arial" w:cs="Arial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TSH, and </w:t>
      </w:r>
      <w:proofErr w:type="spellStart"/>
      <w:r w:rsidRPr="0016062A">
        <w:rPr>
          <w:rFonts w:ascii="Arial" w:hAnsi="Arial" w:cs="Arial"/>
          <w:sz w:val="18"/>
          <w:szCs w:val="18"/>
        </w:rPr>
        <w:t>thyroid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hormones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in </w:t>
      </w:r>
      <w:proofErr w:type="spellStart"/>
      <w:r w:rsidRPr="0016062A">
        <w:rPr>
          <w:rFonts w:ascii="Arial" w:hAnsi="Arial" w:cs="Arial"/>
          <w:sz w:val="18"/>
          <w:szCs w:val="18"/>
        </w:rPr>
        <w:t>patients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treated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with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tablet, </w:t>
      </w:r>
      <w:proofErr w:type="spellStart"/>
      <w:r w:rsidRPr="0016062A">
        <w:rPr>
          <w:rFonts w:ascii="Arial" w:hAnsi="Arial" w:cs="Arial"/>
          <w:sz w:val="18"/>
          <w:szCs w:val="18"/>
        </w:rPr>
        <w:t>or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liquid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levo-thyroxine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. Front </w:t>
      </w:r>
      <w:proofErr w:type="spellStart"/>
      <w:r w:rsidRPr="0016062A">
        <w:rPr>
          <w:rFonts w:ascii="Arial" w:hAnsi="Arial" w:cs="Arial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(Lausanne) </w:t>
      </w:r>
      <w:proofErr w:type="gramStart"/>
      <w:r w:rsidRPr="0016062A">
        <w:rPr>
          <w:rFonts w:ascii="Arial" w:hAnsi="Arial" w:cs="Arial"/>
          <w:sz w:val="18"/>
          <w:szCs w:val="18"/>
        </w:rPr>
        <w:t>2021;12:633587</w:t>
      </w:r>
      <w:proofErr w:type="gramEnd"/>
      <w:r w:rsidRPr="0016062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6062A">
        <w:rPr>
          <w:rFonts w:ascii="Arial" w:hAnsi="Arial" w:cs="Arial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sz w:val="18"/>
          <w:szCs w:val="18"/>
        </w:rPr>
        <w:t>: 10.3389/fendo.2021.633587. </w:t>
      </w:r>
    </w:p>
    <w:p w14:paraId="65349585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before="225" w:after="100" w:afterAutospacing="1" w:line="240" w:lineRule="auto"/>
        <w:ind w:left="709" w:hanging="425"/>
        <w:contextualSpacing w:val="0"/>
        <w:rPr>
          <w:rFonts w:ascii="Arial" w:hAnsi="Arial" w:cs="Arial"/>
          <w:color w:val="1B1B1B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Peterson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SJ, </w:t>
      </w:r>
      <w:proofErr w:type="spellStart"/>
      <w:r w:rsidRPr="0016062A">
        <w:rPr>
          <w:rFonts w:ascii="Arial" w:hAnsi="Arial" w:cs="Arial"/>
          <w:sz w:val="18"/>
          <w:szCs w:val="18"/>
        </w:rPr>
        <w:t>McAninch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EA, Bianco AC. </w:t>
      </w:r>
      <w:proofErr w:type="spellStart"/>
      <w:r w:rsidRPr="0016062A">
        <w:rPr>
          <w:rFonts w:ascii="Arial" w:hAnsi="Arial" w:cs="Arial"/>
          <w:sz w:val="18"/>
          <w:szCs w:val="18"/>
        </w:rPr>
        <w:t>Is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6062A">
        <w:rPr>
          <w:rFonts w:ascii="Arial" w:hAnsi="Arial" w:cs="Arial"/>
          <w:sz w:val="18"/>
          <w:szCs w:val="18"/>
        </w:rPr>
        <w:t>normal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TSH </w:t>
      </w:r>
      <w:proofErr w:type="spellStart"/>
      <w:r w:rsidRPr="0016062A">
        <w:rPr>
          <w:rFonts w:ascii="Arial" w:hAnsi="Arial" w:cs="Arial"/>
          <w:sz w:val="18"/>
          <w:szCs w:val="18"/>
        </w:rPr>
        <w:t>synonymous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with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“</w:t>
      </w:r>
      <w:proofErr w:type="spellStart"/>
      <w:r w:rsidRPr="0016062A">
        <w:rPr>
          <w:rFonts w:ascii="Arial" w:hAnsi="Arial" w:cs="Arial"/>
          <w:sz w:val="18"/>
          <w:szCs w:val="18"/>
        </w:rPr>
        <w:t>euthyroidism”in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levothyroxine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monotherapy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? J </w:t>
      </w:r>
      <w:proofErr w:type="spellStart"/>
      <w:r w:rsidRPr="0016062A">
        <w:rPr>
          <w:rFonts w:ascii="Arial" w:hAnsi="Arial" w:cs="Arial"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Metab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16062A">
        <w:rPr>
          <w:rFonts w:ascii="Arial" w:hAnsi="Arial" w:cs="Arial"/>
          <w:sz w:val="18"/>
          <w:szCs w:val="18"/>
        </w:rPr>
        <w:t>2016;101:4964</w:t>
      </w:r>
      <w:proofErr w:type="gramEnd"/>
      <w:r w:rsidRPr="0016062A">
        <w:rPr>
          <w:rFonts w:ascii="Arial" w:hAnsi="Arial" w:cs="Arial"/>
          <w:sz w:val="18"/>
          <w:szCs w:val="18"/>
        </w:rPr>
        <w:t xml:space="preserve">–73. </w:t>
      </w:r>
      <w:proofErr w:type="spellStart"/>
      <w:r w:rsidRPr="0016062A">
        <w:rPr>
          <w:rFonts w:ascii="Arial" w:hAnsi="Arial" w:cs="Arial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sz w:val="18"/>
          <w:szCs w:val="18"/>
        </w:rPr>
        <w:t>: 10.1210/jc.2016-2660. </w:t>
      </w:r>
    </w:p>
    <w:p w14:paraId="2D58EEB4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r w:rsidRPr="0016062A">
        <w:rPr>
          <w:rFonts w:ascii="Arial" w:hAnsi="Arial" w:cs="Arial"/>
          <w:sz w:val="18"/>
          <w:szCs w:val="18"/>
        </w:rPr>
        <w:t xml:space="preserve">Mandel SJ, </w:t>
      </w:r>
      <w:proofErr w:type="spellStart"/>
      <w:r w:rsidRPr="0016062A">
        <w:rPr>
          <w:rFonts w:ascii="Arial" w:hAnsi="Arial" w:cs="Arial"/>
          <w:sz w:val="18"/>
          <w:szCs w:val="18"/>
        </w:rPr>
        <w:t>Berry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MJ, </w:t>
      </w:r>
      <w:proofErr w:type="spellStart"/>
      <w:r w:rsidRPr="0016062A">
        <w:rPr>
          <w:rFonts w:ascii="Arial" w:hAnsi="Arial" w:cs="Arial"/>
          <w:sz w:val="18"/>
          <w:szCs w:val="18"/>
        </w:rPr>
        <w:t>Kieffer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JD, </w:t>
      </w:r>
      <w:proofErr w:type="spellStart"/>
      <w:r w:rsidRPr="0016062A">
        <w:rPr>
          <w:rFonts w:ascii="Arial" w:hAnsi="Arial" w:cs="Arial"/>
          <w:sz w:val="18"/>
          <w:szCs w:val="18"/>
        </w:rPr>
        <w:t>Harney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JW, </w:t>
      </w:r>
      <w:proofErr w:type="spellStart"/>
      <w:r w:rsidRPr="0016062A">
        <w:rPr>
          <w:rFonts w:ascii="Arial" w:hAnsi="Arial" w:cs="Arial"/>
          <w:sz w:val="18"/>
          <w:szCs w:val="18"/>
        </w:rPr>
        <w:t>Warne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RL, </w:t>
      </w:r>
      <w:proofErr w:type="spellStart"/>
      <w:r w:rsidRPr="0016062A">
        <w:rPr>
          <w:rFonts w:ascii="Arial" w:hAnsi="Arial" w:cs="Arial"/>
          <w:sz w:val="18"/>
          <w:szCs w:val="18"/>
        </w:rPr>
        <w:t>Larsen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PR 1992 </w:t>
      </w:r>
      <w:proofErr w:type="spellStart"/>
      <w:r w:rsidRPr="0016062A">
        <w:rPr>
          <w:rFonts w:ascii="Arial" w:hAnsi="Arial" w:cs="Arial"/>
          <w:sz w:val="18"/>
          <w:szCs w:val="18"/>
        </w:rPr>
        <w:t>Cloning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and in vitro </w:t>
      </w:r>
      <w:proofErr w:type="spellStart"/>
      <w:r w:rsidRPr="0016062A">
        <w:rPr>
          <w:rFonts w:ascii="Arial" w:hAnsi="Arial" w:cs="Arial"/>
          <w:sz w:val="18"/>
          <w:szCs w:val="18"/>
        </w:rPr>
        <w:t>expression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the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human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selenoprotein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type I </w:t>
      </w:r>
      <w:proofErr w:type="spellStart"/>
      <w:r w:rsidRPr="0016062A">
        <w:rPr>
          <w:rFonts w:ascii="Arial" w:hAnsi="Arial" w:cs="Arial"/>
          <w:sz w:val="18"/>
          <w:szCs w:val="18"/>
        </w:rPr>
        <w:t>iodothyronine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deiodinase</w:t>
      </w:r>
      <w:proofErr w:type="spellEnd"/>
      <w:r w:rsidRPr="0016062A">
        <w:rPr>
          <w:rFonts w:ascii="Arial" w:hAnsi="Arial" w:cs="Arial"/>
          <w:sz w:val="18"/>
          <w:szCs w:val="18"/>
        </w:rPr>
        <w:t>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J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Metab</w:t>
      </w:r>
      <w:proofErr w:type="spellEnd"/>
      <w:r w:rsidRPr="0016062A">
        <w:rPr>
          <w:rFonts w:ascii="Arial" w:hAnsi="Arial" w:cs="Arial"/>
          <w:sz w:val="18"/>
          <w:szCs w:val="18"/>
        </w:rPr>
        <w:t> 75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1133–1139.</w:t>
      </w:r>
    </w:p>
    <w:p w14:paraId="47CA2BA2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r w:rsidRPr="0016062A">
        <w:rPr>
          <w:rFonts w:ascii="Arial" w:hAnsi="Arial" w:cs="Arial"/>
          <w:sz w:val="18"/>
          <w:szCs w:val="18"/>
        </w:rPr>
        <w:t xml:space="preserve">Schneider MJ, </w:t>
      </w:r>
      <w:proofErr w:type="spellStart"/>
      <w:r w:rsidRPr="0016062A">
        <w:rPr>
          <w:rFonts w:ascii="Arial" w:hAnsi="Arial" w:cs="Arial"/>
          <w:sz w:val="18"/>
          <w:szCs w:val="18"/>
        </w:rPr>
        <w:t>Fiering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SN, </w:t>
      </w:r>
      <w:proofErr w:type="spellStart"/>
      <w:r w:rsidRPr="0016062A">
        <w:rPr>
          <w:rFonts w:ascii="Arial" w:hAnsi="Arial" w:cs="Arial"/>
          <w:sz w:val="18"/>
          <w:szCs w:val="18"/>
        </w:rPr>
        <w:t>Thai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B, </w:t>
      </w:r>
      <w:proofErr w:type="spellStart"/>
      <w:r w:rsidRPr="0016062A">
        <w:rPr>
          <w:rFonts w:ascii="Arial" w:hAnsi="Arial" w:cs="Arial"/>
          <w:sz w:val="18"/>
          <w:szCs w:val="18"/>
        </w:rPr>
        <w:t>Wu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SY, St </w:t>
      </w:r>
      <w:proofErr w:type="spellStart"/>
      <w:r w:rsidRPr="0016062A">
        <w:rPr>
          <w:rFonts w:ascii="Arial" w:hAnsi="Arial" w:cs="Arial"/>
          <w:sz w:val="18"/>
          <w:szCs w:val="18"/>
        </w:rPr>
        <w:t>Germain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E, </w:t>
      </w:r>
      <w:proofErr w:type="spellStart"/>
      <w:r w:rsidRPr="0016062A">
        <w:rPr>
          <w:rFonts w:ascii="Arial" w:hAnsi="Arial" w:cs="Arial"/>
          <w:sz w:val="18"/>
          <w:szCs w:val="18"/>
        </w:rPr>
        <w:t>Parlow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AF, St </w:t>
      </w:r>
      <w:proofErr w:type="spellStart"/>
      <w:r w:rsidRPr="0016062A">
        <w:rPr>
          <w:rFonts w:ascii="Arial" w:hAnsi="Arial" w:cs="Arial"/>
          <w:sz w:val="18"/>
          <w:szCs w:val="18"/>
        </w:rPr>
        <w:t>Germain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DL, </w:t>
      </w:r>
      <w:proofErr w:type="spellStart"/>
      <w:r w:rsidRPr="0016062A">
        <w:rPr>
          <w:rFonts w:ascii="Arial" w:hAnsi="Arial" w:cs="Arial"/>
          <w:sz w:val="18"/>
          <w:szCs w:val="18"/>
        </w:rPr>
        <w:t>Galton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VA 2006 </w:t>
      </w:r>
      <w:proofErr w:type="spellStart"/>
      <w:r w:rsidRPr="0016062A">
        <w:rPr>
          <w:rFonts w:ascii="Arial" w:hAnsi="Arial" w:cs="Arial"/>
          <w:sz w:val="18"/>
          <w:szCs w:val="18"/>
        </w:rPr>
        <w:t>Targeted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disruption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the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type 1 </w:t>
      </w:r>
      <w:proofErr w:type="spellStart"/>
      <w:r w:rsidRPr="0016062A">
        <w:rPr>
          <w:rFonts w:ascii="Arial" w:hAnsi="Arial" w:cs="Arial"/>
          <w:sz w:val="18"/>
          <w:szCs w:val="18"/>
        </w:rPr>
        <w:t>selenodeiodinase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gene (Dio1) </w:t>
      </w:r>
      <w:proofErr w:type="spellStart"/>
      <w:r w:rsidRPr="0016062A">
        <w:rPr>
          <w:rFonts w:ascii="Arial" w:hAnsi="Arial" w:cs="Arial"/>
          <w:sz w:val="18"/>
          <w:szCs w:val="18"/>
        </w:rPr>
        <w:t>results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sz w:val="18"/>
          <w:szCs w:val="18"/>
        </w:rPr>
        <w:t>marked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changes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sz w:val="18"/>
          <w:szCs w:val="18"/>
        </w:rPr>
        <w:t>thyroid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hormone </w:t>
      </w:r>
      <w:proofErr w:type="spellStart"/>
      <w:r w:rsidRPr="0016062A">
        <w:rPr>
          <w:rFonts w:ascii="Arial" w:hAnsi="Arial" w:cs="Arial"/>
          <w:sz w:val="18"/>
          <w:szCs w:val="18"/>
        </w:rPr>
        <w:t>economy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sz w:val="18"/>
          <w:szCs w:val="18"/>
        </w:rPr>
        <w:t>mice</w:t>
      </w:r>
      <w:proofErr w:type="spellEnd"/>
      <w:r w:rsidRPr="0016062A">
        <w:rPr>
          <w:rFonts w:ascii="Arial" w:hAnsi="Arial" w:cs="Arial"/>
          <w:sz w:val="18"/>
          <w:szCs w:val="18"/>
        </w:rPr>
        <w:t>. 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Endocrinology</w:t>
      </w:r>
      <w:proofErr w:type="spellEnd"/>
      <w:r w:rsidRPr="0016062A">
        <w:rPr>
          <w:rFonts w:ascii="Arial" w:hAnsi="Arial" w:cs="Arial"/>
          <w:sz w:val="18"/>
          <w:szCs w:val="18"/>
        </w:rPr>
        <w:t> 147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580–589.</w:t>
      </w:r>
    </w:p>
    <w:p w14:paraId="31F8C131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r w:rsidRPr="0016062A">
        <w:rPr>
          <w:rFonts w:ascii="Arial" w:hAnsi="Arial" w:cs="Arial"/>
          <w:sz w:val="18"/>
          <w:szCs w:val="18"/>
        </w:rPr>
        <w:t xml:space="preserve">Pilo A, </w:t>
      </w:r>
      <w:proofErr w:type="spellStart"/>
      <w:r w:rsidRPr="0016062A">
        <w:rPr>
          <w:rFonts w:ascii="Arial" w:hAnsi="Arial" w:cs="Arial"/>
          <w:sz w:val="18"/>
          <w:szCs w:val="18"/>
        </w:rPr>
        <w:t>Iervasi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G, </w:t>
      </w:r>
      <w:proofErr w:type="spellStart"/>
      <w:r w:rsidRPr="0016062A">
        <w:rPr>
          <w:rFonts w:ascii="Arial" w:hAnsi="Arial" w:cs="Arial"/>
          <w:sz w:val="18"/>
          <w:szCs w:val="18"/>
        </w:rPr>
        <w:t>Vitek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F, </w:t>
      </w:r>
      <w:proofErr w:type="spellStart"/>
      <w:r w:rsidRPr="0016062A">
        <w:rPr>
          <w:rFonts w:ascii="Arial" w:hAnsi="Arial" w:cs="Arial"/>
          <w:sz w:val="18"/>
          <w:szCs w:val="18"/>
        </w:rPr>
        <w:t>Ferdeghini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M, </w:t>
      </w:r>
      <w:proofErr w:type="spellStart"/>
      <w:r w:rsidRPr="0016062A">
        <w:rPr>
          <w:rFonts w:ascii="Arial" w:hAnsi="Arial" w:cs="Arial"/>
          <w:sz w:val="18"/>
          <w:szCs w:val="18"/>
        </w:rPr>
        <w:t>Cazzuola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F, </w:t>
      </w:r>
      <w:proofErr w:type="spellStart"/>
      <w:r w:rsidRPr="0016062A">
        <w:rPr>
          <w:rFonts w:ascii="Arial" w:hAnsi="Arial" w:cs="Arial"/>
          <w:sz w:val="18"/>
          <w:szCs w:val="18"/>
        </w:rPr>
        <w:t>Bianchi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R 1990 </w:t>
      </w:r>
      <w:proofErr w:type="spellStart"/>
      <w:r w:rsidRPr="0016062A">
        <w:rPr>
          <w:rFonts w:ascii="Arial" w:hAnsi="Arial" w:cs="Arial"/>
          <w:sz w:val="18"/>
          <w:szCs w:val="18"/>
        </w:rPr>
        <w:t>Thyroidal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16062A">
        <w:rPr>
          <w:rFonts w:ascii="Arial" w:hAnsi="Arial" w:cs="Arial"/>
          <w:sz w:val="18"/>
          <w:szCs w:val="18"/>
        </w:rPr>
        <w:t>peripheral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production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3,5,3′-triiodothyronine in </w:t>
      </w:r>
      <w:proofErr w:type="spellStart"/>
      <w:r w:rsidRPr="0016062A">
        <w:rPr>
          <w:rFonts w:ascii="Arial" w:hAnsi="Arial" w:cs="Arial"/>
          <w:sz w:val="18"/>
          <w:szCs w:val="18"/>
        </w:rPr>
        <w:t>humans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by </w:t>
      </w:r>
      <w:proofErr w:type="spellStart"/>
      <w:r w:rsidRPr="0016062A">
        <w:rPr>
          <w:rFonts w:ascii="Arial" w:hAnsi="Arial" w:cs="Arial"/>
          <w:sz w:val="18"/>
          <w:szCs w:val="18"/>
        </w:rPr>
        <w:t>multicompartmental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analysis</w:t>
      </w:r>
      <w:proofErr w:type="spellEnd"/>
      <w:r w:rsidRPr="0016062A">
        <w:rPr>
          <w:rFonts w:ascii="Arial" w:hAnsi="Arial" w:cs="Arial"/>
          <w:sz w:val="18"/>
          <w:szCs w:val="18"/>
        </w:rPr>
        <w:t>. 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Am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J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Physiol</w:t>
      </w:r>
      <w:proofErr w:type="spellEnd"/>
      <w:r w:rsidRPr="0016062A">
        <w:rPr>
          <w:rFonts w:ascii="Arial" w:hAnsi="Arial" w:cs="Arial"/>
          <w:sz w:val="18"/>
          <w:szCs w:val="18"/>
        </w:rPr>
        <w:t> </w:t>
      </w:r>
      <w:proofErr w:type="gramStart"/>
      <w:r w:rsidRPr="0016062A">
        <w:rPr>
          <w:rFonts w:ascii="Arial" w:hAnsi="Arial" w:cs="Arial"/>
          <w:sz w:val="18"/>
          <w:szCs w:val="18"/>
        </w:rPr>
        <w:t>258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E</w:t>
      </w:r>
      <w:proofErr w:type="gramEnd"/>
      <w:r w:rsidRPr="0016062A">
        <w:rPr>
          <w:rFonts w:ascii="Arial" w:hAnsi="Arial" w:cs="Arial"/>
          <w:sz w:val="18"/>
          <w:szCs w:val="18"/>
        </w:rPr>
        <w:t>715–726.</w:t>
      </w:r>
    </w:p>
    <w:p w14:paraId="2F183863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r w:rsidRPr="0016062A">
        <w:rPr>
          <w:rFonts w:ascii="Arial" w:hAnsi="Arial" w:cs="Arial"/>
          <w:sz w:val="18"/>
          <w:szCs w:val="18"/>
        </w:rPr>
        <w:t xml:space="preserve">Salvatore D, </w:t>
      </w:r>
      <w:proofErr w:type="spellStart"/>
      <w:r w:rsidRPr="0016062A">
        <w:rPr>
          <w:rFonts w:ascii="Arial" w:hAnsi="Arial" w:cs="Arial"/>
          <w:sz w:val="18"/>
          <w:szCs w:val="18"/>
        </w:rPr>
        <w:t>Bartha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T, </w:t>
      </w:r>
      <w:proofErr w:type="spellStart"/>
      <w:r w:rsidRPr="0016062A">
        <w:rPr>
          <w:rFonts w:ascii="Arial" w:hAnsi="Arial" w:cs="Arial"/>
          <w:sz w:val="18"/>
          <w:szCs w:val="18"/>
        </w:rPr>
        <w:t>Harney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JW, </w:t>
      </w:r>
      <w:proofErr w:type="spellStart"/>
      <w:r w:rsidRPr="0016062A">
        <w:rPr>
          <w:rFonts w:ascii="Arial" w:hAnsi="Arial" w:cs="Arial"/>
          <w:sz w:val="18"/>
          <w:szCs w:val="18"/>
        </w:rPr>
        <w:t>Larsen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PR 1996 </w:t>
      </w:r>
      <w:proofErr w:type="spellStart"/>
      <w:r w:rsidRPr="0016062A">
        <w:rPr>
          <w:rFonts w:ascii="Arial" w:hAnsi="Arial" w:cs="Arial"/>
          <w:sz w:val="18"/>
          <w:szCs w:val="18"/>
        </w:rPr>
        <w:t>Molecular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biological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16062A">
        <w:rPr>
          <w:rFonts w:ascii="Arial" w:hAnsi="Arial" w:cs="Arial"/>
          <w:sz w:val="18"/>
          <w:szCs w:val="18"/>
        </w:rPr>
        <w:t>biochemical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characterization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the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human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type 2 </w:t>
      </w:r>
      <w:proofErr w:type="spellStart"/>
      <w:r w:rsidRPr="0016062A">
        <w:rPr>
          <w:rFonts w:ascii="Arial" w:hAnsi="Arial" w:cs="Arial"/>
          <w:sz w:val="18"/>
          <w:szCs w:val="18"/>
        </w:rPr>
        <w:t>selenodeiodinase</w:t>
      </w:r>
      <w:proofErr w:type="spellEnd"/>
      <w:r w:rsidRPr="0016062A">
        <w:rPr>
          <w:rFonts w:ascii="Arial" w:hAnsi="Arial" w:cs="Arial"/>
          <w:sz w:val="18"/>
          <w:szCs w:val="18"/>
        </w:rPr>
        <w:t>. 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Endocrinology</w:t>
      </w:r>
      <w:proofErr w:type="spellEnd"/>
      <w:r w:rsidRPr="0016062A">
        <w:rPr>
          <w:rFonts w:ascii="Arial" w:hAnsi="Arial" w:cs="Arial"/>
          <w:sz w:val="18"/>
          <w:szCs w:val="18"/>
        </w:rPr>
        <w:t> 137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3308–3315.</w:t>
      </w:r>
    </w:p>
    <w:p w14:paraId="4F3801A9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r w:rsidRPr="0016062A">
        <w:rPr>
          <w:rFonts w:ascii="Arial" w:hAnsi="Arial" w:cs="Arial"/>
          <w:sz w:val="18"/>
          <w:szCs w:val="18"/>
        </w:rPr>
        <w:t xml:space="preserve">Salvatore D, Tu H, </w:t>
      </w:r>
      <w:proofErr w:type="spellStart"/>
      <w:r w:rsidRPr="0016062A">
        <w:rPr>
          <w:rFonts w:ascii="Arial" w:hAnsi="Arial" w:cs="Arial"/>
          <w:sz w:val="18"/>
          <w:szCs w:val="18"/>
        </w:rPr>
        <w:t>Harney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JW, </w:t>
      </w:r>
      <w:proofErr w:type="spellStart"/>
      <w:r w:rsidRPr="0016062A">
        <w:rPr>
          <w:rFonts w:ascii="Arial" w:hAnsi="Arial" w:cs="Arial"/>
          <w:sz w:val="18"/>
          <w:szCs w:val="18"/>
        </w:rPr>
        <w:t>Larsen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PR 1996 Type 2 </w:t>
      </w:r>
      <w:proofErr w:type="spellStart"/>
      <w:r w:rsidRPr="0016062A">
        <w:rPr>
          <w:rFonts w:ascii="Arial" w:hAnsi="Arial" w:cs="Arial"/>
          <w:sz w:val="18"/>
          <w:szCs w:val="18"/>
        </w:rPr>
        <w:t>iodothyronine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deiodinase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is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highly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expressed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sz w:val="18"/>
          <w:szCs w:val="18"/>
        </w:rPr>
        <w:t>human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thyroid</w:t>
      </w:r>
      <w:proofErr w:type="spellEnd"/>
      <w:r w:rsidRPr="0016062A">
        <w:rPr>
          <w:rFonts w:ascii="Arial" w:hAnsi="Arial" w:cs="Arial"/>
          <w:sz w:val="18"/>
          <w:szCs w:val="18"/>
        </w:rPr>
        <w:t>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J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Invest</w:t>
      </w:r>
      <w:r w:rsidRPr="0016062A">
        <w:rPr>
          <w:rFonts w:ascii="Arial" w:hAnsi="Arial" w:cs="Arial"/>
          <w:sz w:val="18"/>
          <w:szCs w:val="18"/>
        </w:rPr>
        <w:t> 98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962–968.</w:t>
      </w:r>
    </w:p>
    <w:p w14:paraId="32A4861D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Houstek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J, </w:t>
      </w:r>
      <w:proofErr w:type="spellStart"/>
      <w:r w:rsidRPr="0016062A">
        <w:rPr>
          <w:rFonts w:ascii="Arial" w:hAnsi="Arial" w:cs="Arial"/>
          <w:sz w:val="18"/>
          <w:szCs w:val="18"/>
        </w:rPr>
        <w:t>Vizek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K, Pavelka S, </w:t>
      </w:r>
      <w:proofErr w:type="spellStart"/>
      <w:r w:rsidRPr="0016062A">
        <w:rPr>
          <w:rFonts w:ascii="Arial" w:hAnsi="Arial" w:cs="Arial"/>
          <w:sz w:val="18"/>
          <w:szCs w:val="18"/>
        </w:rPr>
        <w:t>Kopecky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J, </w:t>
      </w:r>
      <w:proofErr w:type="spellStart"/>
      <w:r w:rsidRPr="0016062A">
        <w:rPr>
          <w:rFonts w:ascii="Arial" w:hAnsi="Arial" w:cs="Arial"/>
          <w:sz w:val="18"/>
          <w:szCs w:val="18"/>
        </w:rPr>
        <w:t>Krejcova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E, </w:t>
      </w:r>
      <w:proofErr w:type="spellStart"/>
      <w:r w:rsidRPr="0016062A">
        <w:rPr>
          <w:rFonts w:ascii="Arial" w:hAnsi="Arial" w:cs="Arial"/>
          <w:sz w:val="18"/>
          <w:szCs w:val="18"/>
        </w:rPr>
        <w:t>Hermanska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J, </w:t>
      </w:r>
      <w:proofErr w:type="spellStart"/>
      <w:r w:rsidRPr="0016062A">
        <w:rPr>
          <w:rFonts w:ascii="Arial" w:hAnsi="Arial" w:cs="Arial"/>
          <w:sz w:val="18"/>
          <w:szCs w:val="18"/>
        </w:rPr>
        <w:t>Cermakova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M 1993 Type II </w:t>
      </w:r>
      <w:proofErr w:type="spellStart"/>
      <w:r w:rsidRPr="0016062A">
        <w:rPr>
          <w:rFonts w:ascii="Arial" w:hAnsi="Arial" w:cs="Arial"/>
          <w:sz w:val="18"/>
          <w:szCs w:val="18"/>
        </w:rPr>
        <w:t>iodothyronine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5′-deiodinase and </w:t>
      </w:r>
      <w:proofErr w:type="spellStart"/>
      <w:r w:rsidRPr="0016062A">
        <w:rPr>
          <w:rFonts w:ascii="Arial" w:hAnsi="Arial" w:cs="Arial"/>
          <w:sz w:val="18"/>
          <w:szCs w:val="18"/>
        </w:rPr>
        <w:t>uncoupling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protein in </w:t>
      </w:r>
      <w:proofErr w:type="spellStart"/>
      <w:r w:rsidRPr="0016062A">
        <w:rPr>
          <w:rFonts w:ascii="Arial" w:hAnsi="Arial" w:cs="Arial"/>
          <w:sz w:val="18"/>
          <w:szCs w:val="18"/>
        </w:rPr>
        <w:t>brown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adipose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tissue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human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newborns</w:t>
      </w:r>
      <w:proofErr w:type="spellEnd"/>
      <w:r w:rsidRPr="0016062A">
        <w:rPr>
          <w:rFonts w:ascii="Arial" w:hAnsi="Arial" w:cs="Arial"/>
          <w:sz w:val="18"/>
          <w:szCs w:val="18"/>
        </w:rPr>
        <w:t>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J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Metab</w:t>
      </w:r>
      <w:proofErr w:type="spellEnd"/>
      <w:r w:rsidRPr="0016062A">
        <w:rPr>
          <w:rFonts w:ascii="Arial" w:hAnsi="Arial" w:cs="Arial"/>
          <w:sz w:val="18"/>
          <w:szCs w:val="18"/>
        </w:rPr>
        <w:t> 77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382–387.</w:t>
      </w:r>
    </w:p>
    <w:p w14:paraId="6CB9D894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Geffner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DL, </w:t>
      </w:r>
      <w:proofErr w:type="spellStart"/>
      <w:r w:rsidRPr="0016062A">
        <w:rPr>
          <w:rFonts w:ascii="Arial" w:hAnsi="Arial" w:cs="Arial"/>
          <w:sz w:val="18"/>
          <w:szCs w:val="18"/>
        </w:rPr>
        <w:t>Azukizawa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M, </w:t>
      </w:r>
      <w:proofErr w:type="spellStart"/>
      <w:r w:rsidRPr="0016062A">
        <w:rPr>
          <w:rFonts w:ascii="Arial" w:hAnsi="Arial" w:cs="Arial"/>
          <w:sz w:val="18"/>
          <w:szCs w:val="18"/>
        </w:rPr>
        <w:t>Hershman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JM 1975 </w:t>
      </w:r>
      <w:proofErr w:type="spellStart"/>
      <w:r w:rsidRPr="0016062A">
        <w:rPr>
          <w:rFonts w:ascii="Arial" w:hAnsi="Arial" w:cs="Arial"/>
          <w:sz w:val="18"/>
          <w:szCs w:val="18"/>
        </w:rPr>
        <w:t>Propylthiouracil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blocks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extrathyroidal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conversion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thyroxine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16062A">
        <w:rPr>
          <w:rFonts w:ascii="Arial" w:hAnsi="Arial" w:cs="Arial"/>
          <w:sz w:val="18"/>
          <w:szCs w:val="18"/>
        </w:rPr>
        <w:t>triiodothyronine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16062A">
        <w:rPr>
          <w:rFonts w:ascii="Arial" w:hAnsi="Arial" w:cs="Arial"/>
          <w:sz w:val="18"/>
          <w:szCs w:val="18"/>
        </w:rPr>
        <w:t>augments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thyrotropin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secretion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man.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J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Invest</w:t>
      </w:r>
      <w:r w:rsidRPr="0016062A">
        <w:rPr>
          <w:rFonts w:ascii="Arial" w:hAnsi="Arial" w:cs="Arial"/>
          <w:sz w:val="18"/>
          <w:szCs w:val="18"/>
        </w:rPr>
        <w:t> 55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224–229.</w:t>
      </w:r>
    </w:p>
    <w:p w14:paraId="30B6A1FF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Saberi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M, Sterling FH, </w:t>
      </w:r>
      <w:proofErr w:type="spellStart"/>
      <w:r w:rsidRPr="0016062A">
        <w:rPr>
          <w:rFonts w:ascii="Arial" w:hAnsi="Arial" w:cs="Arial"/>
          <w:sz w:val="18"/>
          <w:szCs w:val="18"/>
        </w:rPr>
        <w:t>Utiger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RD 1975 </w:t>
      </w:r>
      <w:proofErr w:type="spellStart"/>
      <w:r w:rsidRPr="0016062A">
        <w:rPr>
          <w:rFonts w:ascii="Arial" w:hAnsi="Arial" w:cs="Arial"/>
          <w:sz w:val="18"/>
          <w:szCs w:val="18"/>
        </w:rPr>
        <w:t>Reduction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sz w:val="18"/>
          <w:szCs w:val="18"/>
        </w:rPr>
        <w:t>extrathyroidal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triiodothyronine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production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by propylthiouracil in man.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J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Invest</w:t>
      </w:r>
      <w:r w:rsidRPr="0016062A">
        <w:rPr>
          <w:rFonts w:ascii="Arial" w:hAnsi="Arial" w:cs="Arial"/>
          <w:sz w:val="18"/>
          <w:szCs w:val="18"/>
        </w:rPr>
        <w:t> 55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218–223.</w:t>
      </w:r>
    </w:p>
    <w:p w14:paraId="697193C4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LoPresti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JS, </w:t>
      </w:r>
      <w:proofErr w:type="spellStart"/>
      <w:r w:rsidRPr="0016062A">
        <w:rPr>
          <w:rFonts w:ascii="Arial" w:hAnsi="Arial" w:cs="Arial"/>
          <w:sz w:val="18"/>
          <w:szCs w:val="18"/>
        </w:rPr>
        <w:t>Eigen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sz w:val="18"/>
          <w:szCs w:val="18"/>
        </w:rPr>
        <w:t>Kaptein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E, Anderson KP, Spencer </w:t>
      </w:r>
      <w:proofErr w:type="spellStart"/>
      <w:r w:rsidRPr="0016062A">
        <w:rPr>
          <w:rFonts w:ascii="Arial" w:hAnsi="Arial" w:cs="Arial"/>
          <w:sz w:val="18"/>
          <w:szCs w:val="18"/>
        </w:rPr>
        <w:t>vCA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6062A">
        <w:rPr>
          <w:rFonts w:ascii="Arial" w:hAnsi="Arial" w:cs="Arial"/>
          <w:sz w:val="18"/>
          <w:szCs w:val="18"/>
        </w:rPr>
        <w:t>Nicoloff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JT 1989 </w:t>
      </w:r>
      <w:proofErr w:type="spellStart"/>
      <w:r w:rsidRPr="0016062A">
        <w:rPr>
          <w:rFonts w:ascii="Arial" w:hAnsi="Arial" w:cs="Arial"/>
          <w:sz w:val="18"/>
          <w:szCs w:val="18"/>
        </w:rPr>
        <w:t>Alterations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3,3′5′-triiodothyronine </w:t>
      </w:r>
      <w:proofErr w:type="spellStart"/>
      <w:r w:rsidRPr="0016062A">
        <w:rPr>
          <w:rFonts w:ascii="Arial" w:hAnsi="Arial" w:cs="Arial"/>
          <w:sz w:val="18"/>
          <w:szCs w:val="18"/>
        </w:rPr>
        <w:t>metabolism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response to </w:t>
      </w:r>
      <w:proofErr w:type="spellStart"/>
      <w:r w:rsidRPr="0016062A">
        <w:rPr>
          <w:rFonts w:ascii="Arial" w:hAnsi="Arial" w:cs="Arial"/>
          <w:sz w:val="18"/>
          <w:szCs w:val="18"/>
        </w:rPr>
        <w:t>propylthiouracil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6062A">
        <w:rPr>
          <w:rFonts w:ascii="Arial" w:hAnsi="Arial" w:cs="Arial"/>
          <w:sz w:val="18"/>
          <w:szCs w:val="18"/>
        </w:rPr>
        <w:t>dexamethasone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and </w:t>
      </w:r>
      <w:proofErr w:type="spellStart"/>
      <w:r w:rsidRPr="0016062A">
        <w:rPr>
          <w:rFonts w:ascii="Arial" w:hAnsi="Arial" w:cs="Arial"/>
          <w:sz w:val="18"/>
          <w:szCs w:val="18"/>
        </w:rPr>
        <w:t>thyroxine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administration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man.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J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Invest</w:t>
      </w:r>
      <w:r w:rsidRPr="0016062A">
        <w:rPr>
          <w:rFonts w:ascii="Arial" w:hAnsi="Arial" w:cs="Arial"/>
          <w:sz w:val="18"/>
          <w:szCs w:val="18"/>
        </w:rPr>
        <w:t> 84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1650–1656.</w:t>
      </w:r>
    </w:p>
    <w:p w14:paraId="453EC821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r w:rsidRPr="0016062A">
        <w:rPr>
          <w:rFonts w:ascii="Arial" w:hAnsi="Arial" w:cs="Arial"/>
          <w:sz w:val="18"/>
          <w:szCs w:val="18"/>
        </w:rPr>
        <w:t xml:space="preserve">Kaplan MM, </w:t>
      </w:r>
      <w:proofErr w:type="spellStart"/>
      <w:r w:rsidRPr="0016062A">
        <w:rPr>
          <w:rFonts w:ascii="Arial" w:hAnsi="Arial" w:cs="Arial"/>
          <w:sz w:val="18"/>
          <w:szCs w:val="18"/>
        </w:rPr>
        <w:t>Yaskoski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KA 1980 </w:t>
      </w:r>
      <w:proofErr w:type="spellStart"/>
      <w:r w:rsidRPr="0016062A">
        <w:rPr>
          <w:rFonts w:ascii="Arial" w:hAnsi="Arial" w:cs="Arial"/>
          <w:sz w:val="18"/>
          <w:szCs w:val="18"/>
        </w:rPr>
        <w:t>Phenolic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16062A">
        <w:rPr>
          <w:rFonts w:ascii="Arial" w:hAnsi="Arial" w:cs="Arial"/>
          <w:sz w:val="18"/>
          <w:szCs w:val="18"/>
        </w:rPr>
        <w:t>tyrosyl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ring </w:t>
      </w:r>
      <w:proofErr w:type="spellStart"/>
      <w:r w:rsidRPr="0016062A">
        <w:rPr>
          <w:rFonts w:ascii="Arial" w:hAnsi="Arial" w:cs="Arial"/>
          <w:sz w:val="18"/>
          <w:szCs w:val="18"/>
        </w:rPr>
        <w:t>deiodination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iodothyronines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sz w:val="18"/>
          <w:szCs w:val="18"/>
        </w:rPr>
        <w:t>rat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brain </w:t>
      </w:r>
      <w:proofErr w:type="spellStart"/>
      <w:r w:rsidRPr="0016062A">
        <w:rPr>
          <w:rFonts w:ascii="Arial" w:hAnsi="Arial" w:cs="Arial"/>
          <w:sz w:val="18"/>
          <w:szCs w:val="18"/>
        </w:rPr>
        <w:t>homogenates</w:t>
      </w:r>
      <w:proofErr w:type="spellEnd"/>
      <w:r w:rsidRPr="0016062A">
        <w:rPr>
          <w:rFonts w:ascii="Arial" w:hAnsi="Arial" w:cs="Arial"/>
          <w:sz w:val="18"/>
          <w:szCs w:val="18"/>
        </w:rPr>
        <w:t>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J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Invest</w:t>
      </w:r>
      <w:r w:rsidRPr="0016062A">
        <w:rPr>
          <w:rFonts w:ascii="Arial" w:hAnsi="Arial" w:cs="Arial"/>
          <w:sz w:val="18"/>
          <w:szCs w:val="18"/>
        </w:rPr>
        <w:t> 66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551–562.</w:t>
      </w:r>
    </w:p>
    <w:p w14:paraId="1490727B" w14:textId="24A1B0C0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Slominski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sz w:val="18"/>
          <w:szCs w:val="18"/>
        </w:rPr>
        <w:t>Wortsman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J, </w:t>
      </w:r>
      <w:proofErr w:type="spellStart"/>
      <w:r w:rsidRPr="0016062A">
        <w:rPr>
          <w:rFonts w:ascii="Arial" w:hAnsi="Arial" w:cs="Arial"/>
          <w:sz w:val="18"/>
          <w:szCs w:val="18"/>
        </w:rPr>
        <w:t>Kohn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L, </w:t>
      </w:r>
      <w:proofErr w:type="spellStart"/>
      <w:r w:rsidRPr="0016062A">
        <w:rPr>
          <w:rFonts w:ascii="Arial" w:hAnsi="Arial" w:cs="Arial"/>
          <w:sz w:val="18"/>
          <w:szCs w:val="18"/>
        </w:rPr>
        <w:t>Ain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KB, </w:t>
      </w:r>
      <w:proofErr w:type="spellStart"/>
      <w:r w:rsidRPr="0016062A">
        <w:rPr>
          <w:rFonts w:ascii="Arial" w:hAnsi="Arial" w:cs="Arial"/>
          <w:sz w:val="18"/>
          <w:szCs w:val="18"/>
        </w:rPr>
        <w:t>Venkataraman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GM, </w:t>
      </w:r>
      <w:proofErr w:type="spellStart"/>
      <w:r w:rsidRPr="0016062A">
        <w:rPr>
          <w:rFonts w:ascii="Arial" w:hAnsi="Arial" w:cs="Arial"/>
          <w:sz w:val="18"/>
          <w:szCs w:val="18"/>
        </w:rPr>
        <w:t>Pisarchik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sz w:val="18"/>
          <w:szCs w:val="18"/>
        </w:rPr>
        <w:t>Chung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JH Giuliani C, </w:t>
      </w:r>
      <w:proofErr w:type="spellStart"/>
      <w:r w:rsidRPr="0016062A">
        <w:rPr>
          <w:rFonts w:ascii="Arial" w:hAnsi="Arial" w:cs="Arial"/>
          <w:sz w:val="18"/>
          <w:szCs w:val="18"/>
        </w:rPr>
        <w:t>Thornton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M, </w:t>
      </w:r>
      <w:proofErr w:type="spellStart"/>
      <w:r w:rsidRPr="0016062A">
        <w:rPr>
          <w:rFonts w:ascii="Arial" w:hAnsi="Arial" w:cs="Arial"/>
          <w:sz w:val="18"/>
          <w:szCs w:val="18"/>
        </w:rPr>
        <w:t>Slugocki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G, </w:t>
      </w:r>
      <w:proofErr w:type="spellStart"/>
      <w:r w:rsidRPr="0016062A">
        <w:rPr>
          <w:rFonts w:ascii="Arial" w:hAnsi="Arial" w:cs="Arial"/>
          <w:sz w:val="18"/>
          <w:szCs w:val="18"/>
        </w:rPr>
        <w:t>Tobin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DJ 2002 </w:t>
      </w:r>
      <w:proofErr w:type="spellStart"/>
      <w:r w:rsidRPr="0016062A">
        <w:rPr>
          <w:rFonts w:ascii="Arial" w:hAnsi="Arial" w:cs="Arial"/>
          <w:sz w:val="18"/>
          <w:szCs w:val="18"/>
        </w:rPr>
        <w:t>Expression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hypothalamic-pituitary-thyroid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axis </w:t>
      </w:r>
      <w:proofErr w:type="spellStart"/>
      <w:r w:rsidRPr="0016062A">
        <w:rPr>
          <w:rFonts w:ascii="Arial" w:hAnsi="Arial" w:cs="Arial"/>
          <w:sz w:val="18"/>
          <w:szCs w:val="18"/>
        </w:rPr>
        <w:t>related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genes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sz w:val="18"/>
          <w:szCs w:val="18"/>
        </w:rPr>
        <w:t>the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human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skin.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J Invest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Dermatol</w:t>
      </w:r>
      <w:proofErr w:type="spellEnd"/>
      <w:r w:rsidRPr="0016062A">
        <w:rPr>
          <w:rFonts w:ascii="Arial" w:hAnsi="Arial" w:cs="Arial"/>
          <w:sz w:val="18"/>
          <w:szCs w:val="18"/>
        </w:rPr>
        <w:t> 119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1449–1455.</w:t>
      </w:r>
    </w:p>
    <w:p w14:paraId="0484A005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70" w:lineRule="atLeast"/>
        <w:ind w:left="709" w:right="-2" w:hanging="425"/>
        <w:rPr>
          <w:rFonts w:ascii="Arial" w:hAnsi="Arial" w:cs="Arial"/>
          <w:color w:val="232323"/>
          <w:sz w:val="18"/>
          <w:szCs w:val="18"/>
        </w:rPr>
      </w:pPr>
      <w:hyperlink r:id="rId7" w:tgtFrame="_blank" w:history="1">
        <w:r w:rsidRPr="0016062A">
          <w:rPr>
            <w:rStyle w:val="Hypertextovodkaz"/>
            <w:rFonts w:ascii="Arial" w:eastAsiaTheme="majorEastAsia" w:hAnsi="Arial" w:cs="Arial"/>
            <w:color w:val="auto"/>
            <w:sz w:val="18"/>
            <w:szCs w:val="18"/>
            <w:u w:val="none"/>
          </w:rPr>
          <w:t xml:space="preserve">Douglas S </w:t>
        </w:r>
        <w:proofErr w:type="spellStart"/>
        <w:r w:rsidRPr="0016062A">
          <w:rPr>
            <w:rStyle w:val="Hypertextovodkaz"/>
            <w:rFonts w:ascii="Arial" w:eastAsiaTheme="majorEastAsia" w:hAnsi="Arial" w:cs="Arial"/>
            <w:color w:val="auto"/>
            <w:sz w:val="18"/>
            <w:szCs w:val="18"/>
            <w:u w:val="none"/>
          </w:rPr>
          <w:t>Ross</w:t>
        </w:r>
        <w:proofErr w:type="spellEnd"/>
        <w:r w:rsidRPr="0016062A">
          <w:rPr>
            <w:rStyle w:val="Hypertextovodkaz"/>
            <w:rFonts w:ascii="Arial" w:eastAsiaTheme="majorEastAsia" w:hAnsi="Arial" w:cs="Arial"/>
            <w:color w:val="auto"/>
            <w:sz w:val="18"/>
            <w:szCs w:val="18"/>
            <w:u w:val="none"/>
          </w:rPr>
          <w:t>,</w:t>
        </w:r>
      </w:hyperlink>
      <w:r w:rsidRPr="0016062A">
        <w:rPr>
          <w:rFonts w:ascii="Arial" w:hAnsi="Arial" w:cs="Arial"/>
          <w:sz w:val="18"/>
          <w:szCs w:val="18"/>
        </w:rPr>
        <w:t xml:space="preserve"> </w:t>
      </w:r>
      <w:hyperlink r:id="rId8" w:tgtFrame="_blank" w:history="1">
        <w:r w:rsidRPr="0016062A">
          <w:rPr>
            <w:rStyle w:val="Hypertextovodkaz"/>
            <w:rFonts w:ascii="Arial" w:eastAsiaTheme="majorEastAsia" w:hAnsi="Arial" w:cs="Arial"/>
            <w:color w:val="auto"/>
            <w:sz w:val="18"/>
            <w:szCs w:val="18"/>
            <w:u w:val="none"/>
          </w:rPr>
          <w:t>David S Cooper,</w:t>
        </w:r>
      </w:hyperlink>
      <w:r w:rsidRPr="0016062A">
        <w:rPr>
          <w:rFonts w:ascii="Arial" w:hAnsi="Arial" w:cs="Arial"/>
          <w:sz w:val="18"/>
          <w:szCs w:val="18"/>
        </w:rPr>
        <w:t xml:space="preserve"> </w:t>
      </w:r>
      <w:hyperlink r:id="rId9" w:tgtFrame="_blank" w:history="1">
        <w:r w:rsidRPr="0016062A">
          <w:rPr>
            <w:rStyle w:val="Hypertextovodkaz"/>
            <w:rFonts w:ascii="Arial" w:eastAsiaTheme="majorEastAsia" w:hAnsi="Arial" w:cs="Arial"/>
            <w:color w:val="auto"/>
            <w:sz w:val="18"/>
            <w:szCs w:val="18"/>
            <w:u w:val="none"/>
          </w:rPr>
          <w:t xml:space="preserve">Jean E </w:t>
        </w:r>
        <w:proofErr w:type="spellStart"/>
        <w:r w:rsidRPr="0016062A">
          <w:rPr>
            <w:rStyle w:val="Hypertextovodkaz"/>
            <w:rFonts w:ascii="Arial" w:eastAsiaTheme="majorEastAsia" w:hAnsi="Arial" w:cs="Arial"/>
            <w:color w:val="auto"/>
            <w:sz w:val="18"/>
            <w:szCs w:val="18"/>
            <w:u w:val="none"/>
          </w:rPr>
          <w:t>Mulder</w:t>
        </w:r>
        <w:proofErr w:type="spellEnd"/>
        <w:r w:rsidRPr="0016062A">
          <w:rPr>
            <w:rStyle w:val="Hypertextovodkaz"/>
            <w:rFonts w:ascii="Arial" w:eastAsiaTheme="majorEastAsia" w:hAnsi="Arial" w:cs="Arial"/>
            <w:color w:val="auto"/>
            <w:sz w:val="18"/>
            <w:szCs w:val="18"/>
            <w:u w:val="none"/>
          </w:rPr>
          <w:t xml:space="preserve">, </w:t>
        </w:r>
      </w:hyperlink>
      <w:r w:rsidRPr="0016062A">
        <w:rPr>
          <w:rFonts w:ascii="Arial" w:hAnsi="Arial" w:cs="Arial"/>
          <w:color w:val="232323"/>
          <w:sz w:val="18"/>
          <w:szCs w:val="18"/>
        </w:rPr>
        <w:t xml:space="preserve">2026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Treatment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primary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adults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UpToDate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, </w:t>
      </w:r>
      <w:r w:rsidRPr="0016062A">
        <w:rPr>
          <w:rStyle w:val="Zdraznn1"/>
          <w:rFonts w:ascii="Arial" w:hAnsi="Arial" w:cs="Arial"/>
          <w:color w:val="232323"/>
          <w:sz w:val="18"/>
          <w:szCs w:val="18"/>
        </w:rPr>
        <w:t xml:space="preserve">last </w:t>
      </w:r>
      <w:proofErr w:type="spellStart"/>
      <w:r w:rsidRPr="0016062A">
        <w:rPr>
          <w:rStyle w:val="Zdraznn1"/>
          <w:rFonts w:ascii="Arial" w:hAnsi="Arial" w:cs="Arial"/>
          <w:color w:val="232323"/>
          <w:sz w:val="18"/>
          <w:szCs w:val="18"/>
        </w:rPr>
        <w:t>updated</w:t>
      </w:r>
      <w:proofErr w:type="spellEnd"/>
      <w:r w:rsidRPr="0016062A">
        <w:rPr>
          <w:rStyle w:val="Zdraznn1"/>
          <w:rFonts w:ascii="Arial" w:hAnsi="Arial" w:cs="Arial"/>
          <w:color w:val="232323"/>
          <w:sz w:val="18"/>
          <w:szCs w:val="18"/>
        </w:rPr>
        <w:t>:</w:t>
      </w:r>
      <w:r w:rsidRPr="0016062A">
        <w:rPr>
          <w:rFonts w:ascii="Arial" w:hAnsi="Arial" w:cs="Arial"/>
          <w:b/>
          <w:bCs/>
          <w:color w:val="232323"/>
          <w:sz w:val="18"/>
          <w:szCs w:val="18"/>
        </w:rPr>
        <w:t> 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Feb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20, 2026.</w:t>
      </w:r>
    </w:p>
    <w:p w14:paraId="6EFB904B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color w:val="232323"/>
          <w:sz w:val="18"/>
          <w:szCs w:val="18"/>
        </w:rPr>
      </w:pP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Wiersinga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WM,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Duntas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L,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Fadeyev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V, et al. 2012 ETA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Guidelines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: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The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Use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L-T4 + L-T3 in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the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Treatment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>. Eur Thyroid J 2012; 1:55.</w:t>
      </w:r>
    </w:p>
    <w:p w14:paraId="43DB7B17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70" w:lineRule="atLeast"/>
        <w:ind w:left="709" w:right="-2" w:hanging="425"/>
        <w:rPr>
          <w:rFonts w:ascii="Arial" w:hAnsi="Arial" w:cs="Arial"/>
          <w:color w:val="232323"/>
          <w:sz w:val="18"/>
          <w:szCs w:val="18"/>
        </w:rPr>
      </w:pP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Surks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MI,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Schadlow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AR, Oppenheimer JH. A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new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radioimmunoassay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for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gramStart"/>
      <w:r w:rsidRPr="0016062A">
        <w:rPr>
          <w:rFonts w:ascii="Arial" w:hAnsi="Arial" w:cs="Arial"/>
          <w:color w:val="232323"/>
          <w:sz w:val="18"/>
          <w:szCs w:val="18"/>
        </w:rPr>
        <w:t>plasma</w:t>
      </w:r>
      <w:proofErr w:type="gramEnd"/>
      <w:r w:rsidRPr="0016062A">
        <w:rPr>
          <w:rFonts w:ascii="Arial" w:hAnsi="Arial" w:cs="Arial"/>
          <w:color w:val="232323"/>
          <w:sz w:val="18"/>
          <w:szCs w:val="18"/>
        </w:rPr>
        <w:t xml:space="preserve"> L-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triiodothyronine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: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Measurements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thyroid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disease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and in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patients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maintained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on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hormonal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replacement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J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Invest. 1972;51(12):3104–13.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>: 10.1172/JCI107137. </w:t>
      </w:r>
    </w:p>
    <w:p w14:paraId="560E0648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70" w:lineRule="atLeast"/>
        <w:ind w:left="709" w:right="-2" w:hanging="425"/>
        <w:rPr>
          <w:rFonts w:ascii="Arial" w:hAnsi="Arial" w:cs="Arial"/>
          <w:color w:val="232323"/>
          <w:sz w:val="18"/>
          <w:szCs w:val="18"/>
        </w:rPr>
      </w:pPr>
      <w:r w:rsidRPr="0016062A">
        <w:rPr>
          <w:rFonts w:ascii="Arial" w:hAnsi="Arial" w:cs="Arial"/>
          <w:color w:val="232323"/>
          <w:sz w:val="18"/>
          <w:szCs w:val="18"/>
        </w:rPr>
        <w:t xml:space="preserve">Roti E, Minelli R,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Gardini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E,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Braverman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LE.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The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use and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misuse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thyroid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hormone.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Endocr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Rev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1993;14(4):401–23.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>: 10.1210/edrv-14-4-401.</w:t>
      </w:r>
    </w:p>
    <w:p w14:paraId="7313EBB1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70" w:lineRule="atLeast"/>
        <w:ind w:left="709" w:right="-2" w:hanging="425"/>
        <w:rPr>
          <w:rFonts w:ascii="Arial" w:hAnsi="Arial" w:cs="Arial"/>
          <w:color w:val="232323"/>
          <w:sz w:val="18"/>
          <w:szCs w:val="18"/>
        </w:rPr>
      </w:pP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Azizi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F,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Amouzegar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Mehran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L,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Abdi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H. LT4 and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Slow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Release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T3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Combination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: Optimum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Therapy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for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?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Int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J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Metab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2020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Apr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7;18(2</w:t>
      </w:r>
      <w:proofErr w:type="gramStart"/>
      <w:r w:rsidRPr="0016062A">
        <w:rPr>
          <w:rFonts w:ascii="Arial" w:hAnsi="Arial" w:cs="Arial"/>
          <w:color w:val="232323"/>
          <w:sz w:val="18"/>
          <w:szCs w:val="18"/>
        </w:rPr>
        <w:t>):e</w:t>
      </w:r>
      <w:proofErr w:type="gramEnd"/>
      <w:r w:rsidRPr="0016062A">
        <w:rPr>
          <w:rFonts w:ascii="Arial" w:hAnsi="Arial" w:cs="Arial"/>
          <w:color w:val="232323"/>
          <w:sz w:val="18"/>
          <w:szCs w:val="18"/>
        </w:rPr>
        <w:t xml:space="preserve">100870.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>: 10.5812/ijem.100870. PMID: 32636887; PMCID: PMC7322563.</w:t>
      </w:r>
    </w:p>
    <w:p w14:paraId="5E45E8F3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70" w:lineRule="atLeast"/>
        <w:ind w:left="709" w:right="-2" w:hanging="425"/>
        <w:rPr>
          <w:rFonts w:ascii="Arial" w:hAnsi="Arial" w:cs="Arial"/>
          <w:color w:val="232323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Azizi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F, </w:t>
      </w:r>
      <w:proofErr w:type="spellStart"/>
      <w:r w:rsidRPr="0016062A">
        <w:rPr>
          <w:rFonts w:ascii="Arial" w:hAnsi="Arial" w:cs="Arial"/>
          <w:sz w:val="18"/>
          <w:szCs w:val="18"/>
        </w:rPr>
        <w:t>Amouzegar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sz w:val="18"/>
          <w:szCs w:val="18"/>
        </w:rPr>
        <w:t>Abdi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H, </w:t>
      </w:r>
      <w:proofErr w:type="spellStart"/>
      <w:r w:rsidRPr="0016062A">
        <w:rPr>
          <w:rFonts w:ascii="Arial" w:hAnsi="Arial" w:cs="Arial"/>
          <w:sz w:val="18"/>
          <w:szCs w:val="18"/>
        </w:rPr>
        <w:t>Tohidi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M, </w:t>
      </w:r>
      <w:proofErr w:type="spellStart"/>
      <w:r w:rsidRPr="0016062A">
        <w:rPr>
          <w:rFonts w:ascii="Arial" w:hAnsi="Arial" w:cs="Arial"/>
          <w:sz w:val="18"/>
          <w:szCs w:val="18"/>
        </w:rPr>
        <w:t>Masoumi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S, </w:t>
      </w:r>
      <w:proofErr w:type="spellStart"/>
      <w:r w:rsidRPr="0016062A">
        <w:rPr>
          <w:rFonts w:ascii="Arial" w:hAnsi="Arial" w:cs="Arial"/>
          <w:sz w:val="18"/>
          <w:szCs w:val="18"/>
        </w:rPr>
        <w:t>Khalili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D, </w:t>
      </w:r>
      <w:proofErr w:type="spellStart"/>
      <w:r w:rsidRPr="0016062A">
        <w:rPr>
          <w:rFonts w:ascii="Arial" w:hAnsi="Arial" w:cs="Arial"/>
          <w:sz w:val="18"/>
          <w:szCs w:val="18"/>
        </w:rPr>
        <w:t>Mehrabi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Y, </w:t>
      </w:r>
      <w:proofErr w:type="spellStart"/>
      <w:r w:rsidRPr="0016062A">
        <w:rPr>
          <w:rFonts w:ascii="Arial" w:hAnsi="Arial" w:cs="Arial"/>
          <w:sz w:val="18"/>
          <w:szCs w:val="18"/>
        </w:rPr>
        <w:t>Zadehvakili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sz w:val="18"/>
          <w:szCs w:val="18"/>
        </w:rPr>
        <w:t>Hedayati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M, </w:t>
      </w:r>
      <w:proofErr w:type="spellStart"/>
      <w:r w:rsidRPr="0016062A">
        <w:rPr>
          <w:rFonts w:ascii="Arial" w:hAnsi="Arial" w:cs="Arial"/>
          <w:sz w:val="18"/>
          <w:szCs w:val="18"/>
        </w:rPr>
        <w:t>Momenan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AA, </w:t>
      </w:r>
      <w:proofErr w:type="spellStart"/>
      <w:r w:rsidRPr="0016062A">
        <w:rPr>
          <w:rFonts w:ascii="Arial" w:hAnsi="Arial" w:cs="Arial"/>
          <w:sz w:val="18"/>
          <w:szCs w:val="18"/>
        </w:rPr>
        <w:t>Mehran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L. </w:t>
      </w:r>
      <w:proofErr w:type="spellStart"/>
      <w:r w:rsidRPr="0016062A">
        <w:rPr>
          <w:rFonts w:ascii="Arial" w:hAnsi="Arial" w:cs="Arial"/>
          <w:sz w:val="18"/>
          <w:szCs w:val="18"/>
        </w:rPr>
        <w:t>Treatment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with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levothyroxine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plus </w:t>
      </w:r>
      <w:proofErr w:type="spellStart"/>
      <w:r w:rsidRPr="0016062A">
        <w:rPr>
          <w:rFonts w:ascii="Arial" w:hAnsi="Arial" w:cs="Arial"/>
          <w:sz w:val="18"/>
          <w:szCs w:val="18"/>
        </w:rPr>
        <w:t>slow-release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liothyronine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: a study </w:t>
      </w:r>
      <w:proofErr w:type="spellStart"/>
      <w:r w:rsidRPr="0016062A">
        <w:rPr>
          <w:rFonts w:ascii="Arial" w:hAnsi="Arial" w:cs="Arial"/>
          <w:sz w:val="18"/>
          <w:szCs w:val="18"/>
        </w:rPr>
        <w:t>protocol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for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6062A">
        <w:rPr>
          <w:rFonts w:ascii="Arial" w:hAnsi="Arial" w:cs="Arial"/>
          <w:sz w:val="18"/>
          <w:szCs w:val="18"/>
        </w:rPr>
        <w:t>randomized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controlled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double-</w:t>
      </w:r>
      <w:proofErr w:type="spellStart"/>
      <w:r w:rsidRPr="0016062A">
        <w:rPr>
          <w:rFonts w:ascii="Arial" w:hAnsi="Arial" w:cs="Arial"/>
          <w:sz w:val="18"/>
          <w:szCs w:val="18"/>
        </w:rPr>
        <w:t>blinded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clinical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trial. </w:t>
      </w:r>
      <w:proofErr w:type="spellStart"/>
      <w:r w:rsidRPr="0016062A">
        <w:rPr>
          <w:rFonts w:ascii="Arial" w:hAnsi="Arial" w:cs="Arial"/>
          <w:sz w:val="18"/>
          <w:szCs w:val="18"/>
        </w:rPr>
        <w:t>Trials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. 2025 Jul 1;26(1):228. </w:t>
      </w:r>
      <w:proofErr w:type="spellStart"/>
      <w:r w:rsidRPr="0016062A">
        <w:rPr>
          <w:rFonts w:ascii="Arial" w:hAnsi="Arial" w:cs="Arial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sz w:val="18"/>
          <w:szCs w:val="18"/>
        </w:rPr>
        <w:t>: 10.1186/s13063-025-08940-5. PMID: 40598574; PMCID: PMC12211365.</w:t>
      </w:r>
    </w:p>
    <w:p w14:paraId="3B0691A9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ind w:left="709" w:hanging="425"/>
        <w:contextualSpacing w:val="0"/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</w:pPr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Salvatore D,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Porcelli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T,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Ettleson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MD, Bianco AC.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The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relevance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of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T3 in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the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management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of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. Lancet Diabetes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Endocrinol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. </w:t>
      </w:r>
      <w:proofErr w:type="gram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2022;10:366</w:t>
      </w:r>
      <w:proofErr w:type="gram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–72.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doi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: 10.1016/S2213-8587(22)00004-3.</w:t>
      </w:r>
    </w:p>
    <w:p w14:paraId="060EE301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ind w:left="709" w:hanging="425"/>
        <w:contextualSpacing w:val="0"/>
        <w:rPr>
          <w:rFonts w:ascii="Arial" w:hAnsi="Arial" w:cs="Arial"/>
          <w:color w:val="1B1B1B"/>
          <w:sz w:val="18"/>
          <w:szCs w:val="18"/>
        </w:rPr>
      </w:pP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Ettleson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MD, Bianco AC.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Individualized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therapy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for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: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Is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T4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enough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for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everyone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? J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Clin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Endocrinol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Metab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. 2020;</w:t>
      </w:r>
      <w:proofErr w:type="gram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105:e</w:t>
      </w:r>
      <w:proofErr w:type="gram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3090–104.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doi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: 10.1210/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clinem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/dgaa430.</w:t>
      </w:r>
      <w:r w:rsidRPr="0016062A">
        <w:rPr>
          <w:rFonts w:ascii="Arial" w:hAnsi="Arial" w:cs="Arial"/>
          <w:color w:val="1B1B1B"/>
          <w:sz w:val="18"/>
          <w:szCs w:val="18"/>
        </w:rPr>
        <w:t> </w:t>
      </w:r>
    </w:p>
    <w:p w14:paraId="04275257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after="100" w:afterAutospacing="1" w:line="240" w:lineRule="auto"/>
        <w:ind w:left="709" w:hanging="425"/>
        <w:contextualSpacing w:val="0"/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</w:pPr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Wilson SA, Stem LA,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Bruehlman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RD.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: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Diagnosis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and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treatment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Am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Fam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Physician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. </w:t>
      </w:r>
      <w:proofErr w:type="gram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2021;103:605</w:t>
      </w:r>
      <w:proofErr w:type="gram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–13.</w:t>
      </w:r>
    </w:p>
    <w:p w14:paraId="738E9730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after="100" w:afterAutospacing="1" w:line="240" w:lineRule="auto"/>
        <w:ind w:left="709" w:hanging="425"/>
        <w:contextualSpacing w:val="0"/>
        <w:rPr>
          <w:rFonts w:ascii="Arial" w:hAnsi="Arial" w:cs="Arial"/>
          <w:color w:val="1B1B1B"/>
          <w:sz w:val="18"/>
          <w:szCs w:val="18"/>
        </w:rPr>
      </w:pP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lastRenderedPageBreak/>
        <w:t>Hoermann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R,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Midgley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JEM,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Giacobino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A,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Eckl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WA,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Wahl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HG, Dietrich JW, et al.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Homeostatic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equilibria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between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free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thyroid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hormones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and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pituitary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thyrotropin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are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modulated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by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various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influences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including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age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, body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mass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index and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treatment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Clin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Endocrinol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. </w:t>
      </w:r>
      <w:proofErr w:type="gram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2014;81:907</w:t>
      </w:r>
      <w:proofErr w:type="gram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–15.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doi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: 10.1111/cen.12527.</w:t>
      </w:r>
      <w:r w:rsidRPr="0016062A">
        <w:rPr>
          <w:rFonts w:ascii="Arial" w:hAnsi="Arial" w:cs="Arial"/>
          <w:color w:val="1B1B1B"/>
          <w:sz w:val="18"/>
          <w:szCs w:val="18"/>
        </w:rPr>
        <w:t> </w:t>
      </w:r>
    </w:p>
    <w:p w14:paraId="404B067F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before="225" w:after="100" w:afterAutospacing="1" w:line="240" w:lineRule="auto"/>
        <w:ind w:left="709" w:hanging="425"/>
        <w:contextualSpacing w:val="0"/>
        <w:rPr>
          <w:rFonts w:ascii="Arial" w:hAnsi="Arial" w:cs="Arial"/>
          <w:color w:val="1B1B1B"/>
          <w:sz w:val="18"/>
          <w:szCs w:val="18"/>
        </w:rPr>
      </w:pP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Werneck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de Castro JP,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Fonseca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TL,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Ueta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CB,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McAninch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EA,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Abdalla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S,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Wittmann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G, et al.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Differences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in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hypothalamic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type 2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deiodinase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ubiquitination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explain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localized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sensitivity to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. J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Clin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Invest. </w:t>
      </w:r>
      <w:proofErr w:type="gram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2015;125:769</w:t>
      </w:r>
      <w:proofErr w:type="gram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–81.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doi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: 10.1172/JCI77588.</w:t>
      </w:r>
    </w:p>
    <w:p w14:paraId="19450BEF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hyperlink r:id="rId10" w:history="1"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Panicker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V,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Saravanan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P,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Vaidya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B, et al.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Common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variation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in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DIO2 gene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predicts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baseline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psychological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well-being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and response to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combination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thyroxine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plus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triiodothyronine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therapy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in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hypothyroid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patients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. J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Clin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Endocrinol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Metab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2009; 94:1623.</w:t>
        </w:r>
      </w:hyperlink>
    </w:p>
    <w:p w14:paraId="08E7827B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Carlé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Faber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J,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Steffensen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R, et al.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Hypothyroid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Patients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Encoding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Combined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MCT10 and DIO2 Gene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Polymorphisms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May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Prefer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L-T3 + L-T4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Combination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16062A">
        <w:rPr>
          <w:rFonts w:ascii="Arial" w:hAnsi="Arial" w:cs="Arial"/>
          <w:color w:val="000000" w:themeColor="text1"/>
          <w:sz w:val="18"/>
          <w:szCs w:val="18"/>
        </w:rPr>
        <w:t>Treatment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- Data</w:t>
      </w:r>
      <w:proofErr w:type="gram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Using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 Blind,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Randomized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Clinical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Study. Eur Thyroid J 2017; 6:143.</w:t>
      </w:r>
    </w:p>
    <w:p w14:paraId="34855411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hyperlink r:id="rId11" w:history="1"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Appelhof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BC,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Peeters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RP,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Wiersinga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WM, et al.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Polymorphisms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in type 2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deiodinase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are not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associated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with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well-being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,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neurocognitive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functioning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, and preference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for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combined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thyroxine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/3,5,3'-triiodothyronine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therapy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. J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Clin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Endocrinol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Metab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2005; 90:6296.</w:t>
        </w:r>
      </w:hyperlink>
    </w:p>
    <w:p w14:paraId="79F6F088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hyperlink r:id="rId12" w:history="1"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Wouters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HJ, van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Loon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HC, van der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Klauw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MM, et al. No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Effect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of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Thr92Ala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Polymorphism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of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Deiodinase-2 on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Thyroid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Hormone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Parameters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,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Health-Related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Quality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of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Life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, and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Cognitive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Functioning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in a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Large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Population-Based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Cohort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Study. Thyroid 2017; 27:147.</w:t>
        </w:r>
      </w:hyperlink>
    </w:p>
    <w:p w14:paraId="117681E0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Kalra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S,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Mithal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Wangnoo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SK,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Seshadri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K,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Dharmalingnam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M. Role of T3 in Management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Indian J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Metab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2025 Jul-Aug;29(4):402-407.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: 10.4103/ijem.ijem_294_24.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Epub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2025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Aug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26. PMID: 40917329; PMCID: PMC12410953.</w:t>
      </w:r>
    </w:p>
    <w:p w14:paraId="0A613A95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hyperlink r:id="rId13" w:history="1"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Nygaard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B, Jensen CZ,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Jorsal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M, et al. Long-term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outcomes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of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LT4/LT3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combination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treatment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for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persistent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hypothyroid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symptoms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. Eur Thyroid J 2025; 14.</w:t>
        </w:r>
      </w:hyperlink>
    </w:p>
    <w:p w14:paraId="4F110F30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/>
        <w:ind w:left="709" w:hanging="425"/>
        <w:rPr>
          <w:rFonts w:ascii="Arial" w:hAnsi="Arial" w:cs="Arial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Bhargav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P. R. K., &amp; </w:t>
      </w:r>
      <w:proofErr w:type="spellStart"/>
      <w:r w:rsidRPr="0016062A">
        <w:rPr>
          <w:rFonts w:ascii="Arial" w:hAnsi="Arial" w:cs="Arial"/>
          <w:sz w:val="18"/>
          <w:szCs w:val="18"/>
        </w:rPr>
        <w:t>Manthri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R. (2024). Real </w:t>
      </w:r>
      <w:proofErr w:type="spellStart"/>
      <w:r w:rsidRPr="0016062A">
        <w:rPr>
          <w:rFonts w:ascii="Arial" w:hAnsi="Arial" w:cs="Arial"/>
          <w:sz w:val="18"/>
          <w:szCs w:val="18"/>
        </w:rPr>
        <w:t>world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use </w:t>
      </w:r>
      <w:proofErr w:type="spellStart"/>
      <w:r w:rsidRPr="0016062A">
        <w:rPr>
          <w:rFonts w:ascii="Arial" w:hAnsi="Arial" w:cs="Arial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T3 to </w:t>
      </w:r>
      <w:proofErr w:type="spellStart"/>
      <w:r w:rsidRPr="0016062A">
        <w:rPr>
          <w:rFonts w:ascii="Arial" w:hAnsi="Arial" w:cs="Arial"/>
          <w:sz w:val="18"/>
          <w:szCs w:val="18"/>
        </w:rPr>
        <w:t>alleviate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symptoms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during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preparation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radioactive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iodine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ablation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16062A">
        <w:rPr>
          <w:rFonts w:ascii="Arial" w:hAnsi="Arial" w:cs="Arial"/>
          <w:sz w:val="18"/>
          <w:szCs w:val="18"/>
        </w:rPr>
        <w:t>experts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viewpoint</w:t>
      </w:r>
      <w:proofErr w:type="spellEnd"/>
      <w:r w:rsidRPr="0016062A">
        <w:rPr>
          <w:rFonts w:ascii="Arial" w:hAnsi="Arial" w:cs="Arial"/>
          <w:sz w:val="18"/>
          <w:szCs w:val="18"/>
        </w:rPr>
        <w:t>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International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Journal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Research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Medical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Sciences</w:t>
      </w:r>
      <w:proofErr w:type="spellEnd"/>
      <w:r w:rsidRPr="0016062A">
        <w:rPr>
          <w:rFonts w:ascii="Arial" w:hAnsi="Arial" w:cs="Arial"/>
          <w:sz w:val="18"/>
          <w:szCs w:val="18"/>
        </w:rPr>
        <w:t>, </w:t>
      </w:r>
      <w:r w:rsidRPr="0016062A">
        <w:rPr>
          <w:rFonts w:ascii="Arial" w:hAnsi="Arial" w:cs="Arial"/>
          <w:i/>
          <w:iCs/>
          <w:sz w:val="18"/>
          <w:szCs w:val="18"/>
        </w:rPr>
        <w:t>13</w:t>
      </w:r>
      <w:r w:rsidRPr="0016062A">
        <w:rPr>
          <w:rFonts w:ascii="Arial" w:hAnsi="Arial" w:cs="Arial"/>
          <w:sz w:val="18"/>
          <w:szCs w:val="18"/>
        </w:rPr>
        <w:t>(1), 559–563. https://doi.org/10.18203/2320-6012.ijrms20244170</w:t>
      </w:r>
    </w:p>
    <w:p w14:paraId="5C8092F5" w14:textId="49916333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70" w:lineRule="atLeast"/>
        <w:ind w:left="709" w:hanging="425"/>
        <w:rPr>
          <w:rFonts w:ascii="Arial" w:hAnsi="Arial" w:cs="Arial"/>
          <w:color w:val="232323"/>
          <w:sz w:val="18"/>
          <w:szCs w:val="18"/>
        </w:rPr>
      </w:pP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Touma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KTB,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Zoucha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AM,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Scarff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JR.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Liothyronine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for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Depression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: A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Review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and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Guidance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for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Safety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Monitoring.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Innov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Neurosci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2017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Apr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1;14(3-4):24-29. PMID: 28584694; PMCID: PMC5451035.</w:t>
      </w:r>
    </w:p>
    <w:p w14:paraId="4B9297C5" w14:textId="32751E71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70" w:lineRule="atLeast"/>
        <w:ind w:left="709" w:hanging="425"/>
        <w:rPr>
          <w:rFonts w:ascii="Arial" w:hAnsi="Arial" w:cs="Arial"/>
          <w:color w:val="232323"/>
          <w:sz w:val="18"/>
          <w:szCs w:val="18"/>
        </w:rPr>
      </w:pP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Lifschytz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T,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Segman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R,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Shalom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G, et al. Basic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mechanisms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augmentation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antidepressant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effects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with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thyroid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hormone.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Curr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Drug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Targets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2006;7(2):203–210.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>: 10.2174/138945006775515482.</w:t>
      </w:r>
    </w:p>
    <w:p w14:paraId="51D54771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70" w:lineRule="atLeast"/>
        <w:ind w:left="709" w:right="-2" w:hanging="425"/>
        <w:rPr>
          <w:rFonts w:ascii="Arial" w:hAnsi="Arial" w:cs="Arial"/>
          <w:color w:val="232323"/>
          <w:sz w:val="18"/>
          <w:szCs w:val="18"/>
        </w:rPr>
      </w:pP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Newman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ME,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Agid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O,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Gur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E,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Lerer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B.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Pharmacological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mechanisms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T3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augmentation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antidepressant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action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Int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J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Neuropsychopharmacol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2000;3(2):187–191.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>: 10.1017/S1461145700001875.</w:t>
      </w:r>
    </w:p>
    <w:p w14:paraId="7E22A2F2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tabs>
          <w:tab w:val="left" w:pos="7088"/>
        </w:tabs>
        <w:spacing w:after="0" w:line="270" w:lineRule="atLeast"/>
        <w:ind w:left="709" w:right="-2" w:hanging="425"/>
        <w:rPr>
          <w:rFonts w:ascii="Arial" w:hAnsi="Arial" w:cs="Arial"/>
          <w:color w:val="232323"/>
          <w:sz w:val="18"/>
          <w:szCs w:val="18"/>
        </w:rPr>
      </w:pP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Gur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E,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Lerer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B,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Newman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ME.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Chronic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clomipramine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and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triiodothyronine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increase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serotonin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levels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rat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frontal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cortex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vivo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: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relationship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to serotonin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autoreceptor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activity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J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Pharmacol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Exp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Ther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>. 1999;288(1):81–87.</w:t>
      </w:r>
    </w:p>
    <w:p w14:paraId="30820DD5" w14:textId="15687F76" w:rsidR="00F510F4" w:rsidRPr="0016062A" w:rsidRDefault="00F510F4" w:rsidP="00117FCA">
      <w:pPr>
        <w:numPr>
          <w:ilvl w:val="0"/>
          <w:numId w:val="18"/>
        </w:numPr>
        <w:shd w:val="clear" w:color="auto" w:fill="FFFFFF"/>
        <w:spacing w:after="100" w:afterAutospacing="1" w:line="240" w:lineRule="auto"/>
        <w:ind w:left="709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Yi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W, Kim BH, Kim M, et al. 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Heart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failure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and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stroke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risks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users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liothyronine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with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without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levothyroxine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compared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with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levothyroxine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alone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: a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propensity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score-matched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analysis. </w:t>
      </w:r>
      <w:r w:rsidRPr="0016062A">
        <w:rPr>
          <w:rFonts w:ascii="Arial" w:hAnsi="Arial" w:cs="Arial"/>
          <w:i/>
          <w:iCs/>
          <w:color w:val="000000" w:themeColor="text1"/>
          <w:sz w:val="18"/>
          <w:szCs w:val="18"/>
        </w:rPr>
        <w:t>Thyroid</w:t>
      </w:r>
      <w:r w:rsidRPr="0016062A">
        <w:rPr>
          <w:rFonts w:ascii="Arial" w:hAnsi="Arial" w:cs="Arial"/>
          <w:color w:val="000000" w:themeColor="text1"/>
          <w:sz w:val="18"/>
          <w:szCs w:val="18"/>
        </w:rPr>
        <w:t>. 2022; </w:t>
      </w:r>
      <w:r w:rsidRPr="0016062A">
        <w:rPr>
          <w:rFonts w:ascii="Arial" w:hAnsi="Arial" w:cs="Arial"/>
          <w:b/>
          <w:bCs/>
          <w:color w:val="000000" w:themeColor="text1"/>
          <w:sz w:val="18"/>
          <w:szCs w:val="18"/>
        </w:rPr>
        <w:t>32</w:t>
      </w:r>
      <w:r w:rsidRPr="0016062A">
        <w:rPr>
          <w:rFonts w:ascii="Arial" w:hAnsi="Arial" w:cs="Arial"/>
          <w:color w:val="000000" w:themeColor="text1"/>
          <w:sz w:val="18"/>
          <w:szCs w:val="18"/>
        </w:rPr>
        <w:t>(7): 764-771. </w:t>
      </w:r>
      <w:hyperlink r:id="rId14" w:history="1">
        <w:r w:rsidRPr="0016062A">
          <w:rPr>
            <w:rFonts w:ascii="Arial" w:hAnsi="Arial" w:cs="Arial"/>
            <w:sz w:val="18"/>
            <w:szCs w:val="18"/>
          </w:rPr>
          <w:t>doi:10.1089/thy.2021.0634</w:t>
        </w:r>
      </w:hyperlink>
    </w:p>
    <w:p w14:paraId="22FA367C" w14:textId="77777777" w:rsidR="00117FCA" w:rsidRPr="0016062A" w:rsidRDefault="00117FCA" w:rsidP="00117FCA">
      <w:pPr>
        <w:pStyle w:val="Normlnwe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rFonts w:ascii="Arial" w:hAnsi="Arial" w:cs="Arial"/>
          <w:color w:val="242424"/>
          <w:sz w:val="18"/>
          <w:szCs w:val="18"/>
        </w:rPr>
      </w:pP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Abrahamsen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B,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Jørgensen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HL,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Laulund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AS,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Nybo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M, Bauer DC,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Brix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TH,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Hegedüs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L.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The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excess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risk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of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major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osteoporotic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fractures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in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hypothyroidism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is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driven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by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cumulative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hyperthyroid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as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opposed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to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hypothyroid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time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: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an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observational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register-based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time-resolved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cohort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analysis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. J Bone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Miner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Res 2015; 30: 898-905.</w:t>
      </w:r>
    </w:p>
    <w:p w14:paraId="15524AEA" w14:textId="58BDCD04" w:rsidR="00117FCA" w:rsidRPr="0016062A" w:rsidRDefault="00117FCA" w:rsidP="00117FCA">
      <w:pPr>
        <w:pStyle w:val="Normlnwe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9" w:hanging="425"/>
        <w:jc w:val="both"/>
        <w:textAlignment w:val="baseline"/>
        <w:rPr>
          <w:rFonts w:ascii="Arial" w:hAnsi="Arial" w:cs="Arial"/>
          <w:color w:val="242424"/>
          <w:sz w:val="18"/>
          <w:szCs w:val="18"/>
        </w:rPr>
      </w:pP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Lillevang-Johansen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M,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Abrahamsen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B,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Jørgensen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HL,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Brix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TH, Hegedüs L.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Duration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of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proofErr w:type="gram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over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- and</w:t>
      </w:r>
      <w:proofErr w:type="gram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under-treatment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of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hypothyroidism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is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associated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with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increased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cardiovascular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risk. Eur J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Endocrinol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2019; 180: 407-416.</w:t>
      </w:r>
    </w:p>
    <w:p w14:paraId="0A219C36" w14:textId="2C9A965F" w:rsidR="00F510F4" w:rsidRPr="0016062A" w:rsidRDefault="00F510F4" w:rsidP="007B17A3">
      <w:pPr>
        <w:numPr>
          <w:ilvl w:val="0"/>
          <w:numId w:val="18"/>
        </w:numPr>
        <w:shd w:val="clear" w:color="auto" w:fill="FFFFFF"/>
        <w:spacing w:after="100" w:afterAutospacing="1"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Leese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GP,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Soto-Pedre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E,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Donnelly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LA.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Liothyronine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use in a 17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year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observational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population-based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gramStart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study -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the</w:t>
      </w:r>
      <w:proofErr w:type="spellEnd"/>
      <w:proofErr w:type="gram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tears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study.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Oxf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). 2016;85(6):918–925.</w:t>
      </w:r>
    </w:p>
    <w:p w14:paraId="7C3E17AD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Ross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SD, Cooper SD,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Mulder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EJ.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Treatment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primary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adults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UpToDate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Literature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review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current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through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: 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Sep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2025.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This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topic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last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updated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: Jul 25, 2025.</w:t>
      </w:r>
    </w:p>
    <w:p w14:paraId="751F4AE5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hyperlink r:id="rId15" w:history="1"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Foeller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ME, Silver RM.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Combination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Levothyroxine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+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Liothyronine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Treatment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in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Pregnancy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.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Obstet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Gynecol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Surv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2015; 70:584.</w:t>
        </w:r>
      </w:hyperlink>
    </w:p>
    <w:p w14:paraId="4C89278E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Dayan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C,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Panicker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V. Management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with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combination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(T4) and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triiodothyronine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(T3) hormone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replacement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clinical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practice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: a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review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suggested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guidance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Thyroid Res. (2018) 11:1.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: 10.1186/s13044-018-0045-x.</w:t>
      </w:r>
    </w:p>
    <w:p w14:paraId="44BF4FDF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Grozinsky-Glasberg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S,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Fraser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Nahshoni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E,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Weizman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Leibovici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L.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Thyroxine-triiodothyronine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combination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therapy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versus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monotherapy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for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clinical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: meta-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analysis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randomized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controlled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trials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J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Metab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. (2006) 91:2592–9. 10.1210/jc.2006-0448</w:t>
      </w:r>
    </w:p>
    <w:p w14:paraId="7A67FD51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Escobar-Morreale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HF,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Botella-Carretero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JI,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Escobar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del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Rey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F,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Morreale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de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Escobar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G. REVIEW: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treatment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with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combinations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levothyroxine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plus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liothyronine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J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Metab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. (2005) 90:4946–54. 10.1210/jc.2005-0184 [</w:t>
      </w:r>
      <w:hyperlink r:id="rId16" w:tgtFrame="_blank" w:history="1"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DOI</w:t>
        </w:r>
      </w:hyperlink>
      <w:r w:rsidRPr="0016062A">
        <w:rPr>
          <w:rFonts w:ascii="Arial" w:hAnsi="Arial" w:cs="Arial"/>
          <w:color w:val="000000" w:themeColor="text1"/>
          <w:sz w:val="18"/>
          <w:szCs w:val="18"/>
        </w:rPr>
        <w:t>] [</w:t>
      </w:r>
      <w:proofErr w:type="spellStart"/>
      <w:r w:rsidRPr="0016062A">
        <w:fldChar w:fldCharType="begin"/>
      </w:r>
      <w:r w:rsidRPr="0016062A">
        <w:instrText>HYPERLINK "https://pubmed.ncbi.nlm.nih.gov/15928247/"</w:instrText>
      </w:r>
      <w:r w:rsidRPr="0016062A">
        <w:fldChar w:fldCharType="separate"/>
      </w:r>
      <w:r w:rsidRPr="0016062A">
        <w:rPr>
          <w:rStyle w:val="Hypertextovodkaz"/>
          <w:rFonts w:ascii="Arial" w:hAnsi="Arial" w:cs="Arial"/>
          <w:color w:val="000000" w:themeColor="text1"/>
          <w:sz w:val="18"/>
          <w:szCs w:val="18"/>
          <w:u w:val="none"/>
        </w:rPr>
        <w:t>PubMed</w:t>
      </w:r>
      <w:proofErr w:type="spellEnd"/>
      <w:r w:rsidRPr="0016062A">
        <w:fldChar w:fldCharType="end"/>
      </w:r>
      <w:r w:rsidRPr="0016062A">
        <w:rPr>
          <w:rFonts w:ascii="Arial" w:hAnsi="Arial" w:cs="Arial"/>
          <w:color w:val="000000" w:themeColor="text1"/>
          <w:sz w:val="18"/>
          <w:szCs w:val="18"/>
        </w:rPr>
        <w:t>] [</w:t>
      </w:r>
      <w:hyperlink r:id="rId17" w:tgtFrame="_blank" w:history="1"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Google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Scholar</w:t>
        </w:r>
        <w:proofErr w:type="spellEnd"/>
      </w:hyperlink>
      <w:r w:rsidRPr="0016062A">
        <w:rPr>
          <w:rFonts w:ascii="Arial" w:hAnsi="Arial" w:cs="Arial"/>
          <w:color w:val="000000" w:themeColor="text1"/>
          <w:sz w:val="18"/>
          <w:szCs w:val="18"/>
        </w:rPr>
        <w:t>]</w:t>
      </w:r>
    </w:p>
    <w:p w14:paraId="026E0E6E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Joffe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RT, Marriott M.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Thyroid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hormone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levels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and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recurrence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major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depression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Am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J Psychiatry. (2000) 157:1689–91. 10.1176/appi.ajp.157.10.1689 </w:t>
      </w:r>
    </w:p>
    <w:p w14:paraId="532C4B21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lastRenderedPageBreak/>
        <w:t>Ma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C,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Xie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J,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Huang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X,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Wang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G,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Wang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Y,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Wang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X, et al.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alone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plus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triiodothyronine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replacement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therapy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for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Nuclear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Med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Commun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. (2009) 30:586–93. 10.1097/MNM.0b013e32832c79e0</w:t>
      </w:r>
    </w:p>
    <w:p w14:paraId="654B2188" w14:textId="246C6DC4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before="225" w:after="100" w:afterAutospacing="1"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Wiersinga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WM,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Duntas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L,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Fadeyev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V,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Nygaard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B,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Vanderpump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MP. 2012 ETA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guidelines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: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use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of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L-T4 + L-T3 in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treatment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of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. Eur Thyroid J. (2012) 1:55–71. 10.1159/000339444</w:t>
      </w:r>
    </w:p>
    <w:p w14:paraId="0E524882" w14:textId="5ADB513E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before="225" w:after="100" w:afterAutospacing="1"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Walsh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JP,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Shiels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L, Lim EM,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Bhagat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CI,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Ward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LC,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Stuckey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BG, et al.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Combined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/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liothyronine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treatment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does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not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improve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well-being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quality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of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life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or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cognitive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function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compared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to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alone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: a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randomized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controlled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trial in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patients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with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primary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. J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Clin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Endocrinol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Metab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. (2003) 88:4543–50. 10.1210/jc.2003-030249</w:t>
      </w:r>
      <w:r w:rsidRPr="0016062A">
        <w:rPr>
          <w:rFonts w:ascii="Arial" w:hAnsi="Arial" w:cs="Arial"/>
          <w:color w:val="000000" w:themeColor="text1"/>
          <w:sz w:val="18"/>
          <w:szCs w:val="18"/>
        </w:rPr>
        <w:t> </w:t>
      </w:r>
    </w:p>
    <w:p w14:paraId="05B45E80" w14:textId="35711AA3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before="225" w:after="100" w:afterAutospacing="1"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Nygaard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B, Jensen EW,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Kvetny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J,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Jarlov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A,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Faber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J.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Effect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of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combination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therapy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with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(T4) and 3,5,3′-triiodothyronine versus T4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monotherapy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in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patients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with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, a double-blind,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randomised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cross-over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study. Eur J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Endocrinol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. (2009) 161:895–902. 10.1530/EJE-09-0542</w:t>
      </w:r>
      <w:r w:rsidRPr="0016062A">
        <w:rPr>
          <w:rFonts w:ascii="Arial" w:hAnsi="Arial" w:cs="Arial"/>
          <w:color w:val="000000" w:themeColor="text1"/>
          <w:sz w:val="18"/>
          <w:szCs w:val="18"/>
        </w:rPr>
        <w:t> [</w:t>
      </w:r>
      <w:hyperlink r:id="rId18" w:tgtFrame="_blank" w:history="1"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DOI</w:t>
        </w:r>
      </w:hyperlink>
      <w:r w:rsidRPr="0016062A">
        <w:rPr>
          <w:rFonts w:ascii="Arial" w:hAnsi="Arial" w:cs="Arial"/>
          <w:color w:val="000000" w:themeColor="text1"/>
          <w:sz w:val="18"/>
          <w:szCs w:val="18"/>
        </w:rPr>
        <w:t>] [</w:t>
      </w:r>
      <w:proofErr w:type="spellStart"/>
      <w:r w:rsidRPr="0016062A">
        <w:fldChar w:fldCharType="begin"/>
      </w:r>
      <w:r w:rsidRPr="0016062A">
        <w:instrText>HYPERLINK "https://pubmed.ncbi.nlm.nih.gov/19666698/"</w:instrText>
      </w:r>
      <w:r w:rsidRPr="0016062A">
        <w:fldChar w:fldCharType="separate"/>
      </w:r>
      <w:r w:rsidRPr="0016062A">
        <w:rPr>
          <w:rStyle w:val="Hypertextovodkaz"/>
          <w:rFonts w:ascii="Arial" w:hAnsi="Arial" w:cs="Arial"/>
          <w:color w:val="000000" w:themeColor="text1"/>
          <w:sz w:val="18"/>
          <w:szCs w:val="18"/>
          <w:u w:val="none"/>
        </w:rPr>
        <w:t>PubMed</w:t>
      </w:r>
      <w:proofErr w:type="spellEnd"/>
      <w:r w:rsidRPr="0016062A">
        <w:fldChar w:fldCharType="end"/>
      </w:r>
      <w:r w:rsidRPr="0016062A">
        <w:rPr>
          <w:rFonts w:ascii="Arial" w:hAnsi="Arial" w:cs="Arial"/>
          <w:color w:val="000000" w:themeColor="text1"/>
          <w:sz w:val="18"/>
          <w:szCs w:val="18"/>
        </w:rPr>
        <w:t>] [</w:t>
      </w:r>
      <w:hyperlink r:id="rId19" w:tgtFrame="_blank" w:history="1"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Google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Scholar</w:t>
        </w:r>
        <w:proofErr w:type="spellEnd"/>
      </w:hyperlink>
      <w:r w:rsidRPr="0016062A">
        <w:rPr>
          <w:rFonts w:ascii="Arial" w:hAnsi="Arial" w:cs="Arial"/>
          <w:color w:val="000000" w:themeColor="text1"/>
          <w:sz w:val="18"/>
          <w:szCs w:val="18"/>
        </w:rPr>
        <w:t>]</w:t>
      </w:r>
    </w:p>
    <w:p w14:paraId="514470DE" w14:textId="5D1509B6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before="225" w:after="100" w:afterAutospacing="1"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Bunevicius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R,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Kazanavicius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G,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Zalinkevicius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R,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Prange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AJ, Jr.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Effects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of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as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compared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with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plus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triiodothyronine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in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patients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with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. N Engl J Med. (1999) 340:424–9. 10.1056/NEJM199902113400603</w:t>
      </w:r>
    </w:p>
    <w:p w14:paraId="49AAC8DE" w14:textId="5E4DBC00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before="225" w:after="100" w:afterAutospacing="1"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Escobar-Morreale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HF,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Botella-Carretero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JI,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Gomez-Bueno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M,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Galan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JM,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Barrios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V,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Sancho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J.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Thyroid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hormone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replacement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therapy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in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primary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: a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randomized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trial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comparing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L-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plus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liothyronine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with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L-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alone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. Ann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Intern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Med. (2005) 142:412–24. 10.7326/0003-4819-142-6-200503150-00007</w:t>
      </w:r>
    </w:p>
    <w:p w14:paraId="37E8CCC8" w14:textId="5737A5DD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before="225" w:after="100" w:afterAutospacing="1"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Bunevicius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R,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Jakubonien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N,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Jurkevicius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R,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Cernicat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J,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Lasas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L,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Prange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AJ, Jr.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vs.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plus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triiodothyronine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in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treatment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of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after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thyroidectomy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for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Graves'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disease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Endocrine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. (2002) 18:129–33. 10.1385/ENDO:18:2:129</w:t>
      </w:r>
    </w:p>
    <w:p w14:paraId="7904F037" w14:textId="2A5828BF" w:rsidR="00E360A0" w:rsidRPr="0016062A" w:rsidRDefault="00E360A0" w:rsidP="00A944EE">
      <w:pPr>
        <w:pStyle w:val="Odstavecseseznamem"/>
        <w:numPr>
          <w:ilvl w:val="0"/>
          <w:numId w:val="18"/>
        </w:numPr>
        <w:spacing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Shakir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MKM,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Brooks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DI,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McAninch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EA, et al.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Comparative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Effectiveness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Levothyroxine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Desiccated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Thyroid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Extract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, and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Levothyroxine+Liothyronine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J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Metab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2021; </w:t>
      </w:r>
      <w:proofErr w:type="gramStart"/>
      <w:r w:rsidRPr="0016062A">
        <w:rPr>
          <w:rFonts w:ascii="Arial" w:hAnsi="Arial" w:cs="Arial"/>
          <w:color w:val="000000" w:themeColor="text1"/>
          <w:sz w:val="18"/>
          <w:szCs w:val="18"/>
        </w:rPr>
        <w:t>106:e</w:t>
      </w:r>
      <w:proofErr w:type="gramEnd"/>
      <w:r w:rsidRPr="0016062A">
        <w:rPr>
          <w:rFonts w:ascii="Arial" w:hAnsi="Arial" w:cs="Arial"/>
          <w:color w:val="000000" w:themeColor="text1"/>
          <w:sz w:val="18"/>
          <w:szCs w:val="18"/>
        </w:rPr>
        <w:t>4400.</w:t>
      </w:r>
    </w:p>
    <w:p w14:paraId="3FE8D1A5" w14:textId="6D6EB815" w:rsidR="00FC0CC9" w:rsidRPr="0016062A" w:rsidRDefault="00C31A02" w:rsidP="00A944EE">
      <w:pPr>
        <w:pStyle w:val="Odstavecseseznamem"/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16062A">
        <w:rPr>
          <w:rFonts w:ascii="Arial" w:hAnsi="Arial" w:cs="Arial"/>
          <w:color w:val="000000" w:themeColor="text1"/>
          <w:sz w:val="18"/>
          <w:szCs w:val="18"/>
        </w:rPr>
        <w:t>5</w:t>
      </w:r>
      <w:r w:rsidR="00B73419">
        <w:rPr>
          <w:rFonts w:ascii="Arial" w:hAnsi="Arial" w:cs="Arial"/>
          <w:color w:val="000000" w:themeColor="text1"/>
          <w:sz w:val="18"/>
          <w:szCs w:val="18"/>
        </w:rPr>
        <w:t>4</w:t>
      </w:r>
      <w:r w:rsidR="00BF463C" w:rsidRPr="0016062A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 xml:space="preserve">Jonklaas J, Bianco CA, Bauer JA, </w:t>
      </w:r>
      <w:proofErr w:type="spellStart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>Burman</w:t>
      </w:r>
      <w:proofErr w:type="spellEnd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 xml:space="preserve"> DK, </w:t>
      </w:r>
      <w:proofErr w:type="spellStart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>Cappola</w:t>
      </w:r>
      <w:proofErr w:type="spellEnd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 xml:space="preserve"> RA, </w:t>
      </w:r>
      <w:proofErr w:type="spellStart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>Celi</w:t>
      </w:r>
      <w:proofErr w:type="spellEnd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 xml:space="preserve"> SF, Cooper SD, Kim WB,</w:t>
      </w:r>
      <w:r w:rsidR="004F5364"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>Peeters</w:t>
      </w:r>
      <w:proofErr w:type="spellEnd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 xml:space="preserve"> PR, </w:t>
      </w:r>
      <w:proofErr w:type="spellStart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>Rosenthal</w:t>
      </w:r>
      <w:proofErr w:type="spellEnd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 xml:space="preserve"> SM, </w:t>
      </w:r>
      <w:proofErr w:type="spellStart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>Sawka</w:t>
      </w:r>
      <w:proofErr w:type="spellEnd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 xml:space="preserve"> MA. </w:t>
      </w:r>
      <w:hyperlink r:id="rId20" w:history="1"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Guidelines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for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the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Treatment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of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Hypothyroidism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: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Prepared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by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the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American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Thyroid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Association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Task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Force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on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Thyroid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Hormone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Replacement</w:t>
        </w:r>
        <w:proofErr w:type="spellEnd"/>
      </w:hyperlink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>.</w:t>
      </w:r>
      <w:r w:rsidR="004F5364"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>Thyroid 2014 24:12, 1670-1751</w:t>
      </w:r>
    </w:p>
    <w:bookmarkEnd w:id="0"/>
    <w:p w14:paraId="28001512" w14:textId="0ABEA03A" w:rsidR="00050C98" w:rsidRPr="00B73419" w:rsidRDefault="00C31A02" w:rsidP="00B73419">
      <w:pPr>
        <w:pStyle w:val="Odstavecseseznamem"/>
        <w:numPr>
          <w:ilvl w:val="0"/>
          <w:numId w:val="22"/>
        </w:numPr>
        <w:ind w:left="709" w:hanging="425"/>
        <w:rPr>
          <w:rFonts w:ascii="Arial" w:hAnsi="Arial" w:cs="Arial"/>
          <w:sz w:val="18"/>
          <w:szCs w:val="18"/>
        </w:rPr>
      </w:pPr>
      <w:proofErr w:type="spellStart"/>
      <w:r w:rsidRPr="00B73419">
        <w:rPr>
          <w:rFonts w:ascii="Arial" w:hAnsi="Arial" w:cs="Arial"/>
          <w:sz w:val="18"/>
          <w:szCs w:val="18"/>
        </w:rPr>
        <w:t>Jonklaas</w:t>
      </w:r>
      <w:proofErr w:type="spellEnd"/>
      <w:r w:rsidRPr="00B73419">
        <w:rPr>
          <w:rFonts w:ascii="Arial" w:hAnsi="Arial" w:cs="Arial"/>
          <w:sz w:val="18"/>
          <w:szCs w:val="18"/>
        </w:rPr>
        <w:t xml:space="preserve">, J., Bianco, A., </w:t>
      </w:r>
      <w:proofErr w:type="spellStart"/>
      <w:r w:rsidRPr="00B73419">
        <w:rPr>
          <w:rFonts w:ascii="Arial" w:hAnsi="Arial" w:cs="Arial"/>
          <w:sz w:val="18"/>
          <w:szCs w:val="18"/>
        </w:rPr>
        <w:t>Cappola</w:t>
      </w:r>
      <w:proofErr w:type="spellEnd"/>
      <w:r w:rsidRPr="00B73419">
        <w:rPr>
          <w:rFonts w:ascii="Arial" w:hAnsi="Arial" w:cs="Arial"/>
          <w:sz w:val="18"/>
          <w:szCs w:val="18"/>
        </w:rPr>
        <w:t xml:space="preserve">, A., </w:t>
      </w:r>
      <w:proofErr w:type="spellStart"/>
      <w:r w:rsidRPr="00B73419">
        <w:rPr>
          <w:rFonts w:ascii="Arial" w:hAnsi="Arial" w:cs="Arial"/>
          <w:sz w:val="18"/>
          <w:szCs w:val="18"/>
        </w:rPr>
        <w:t>Celi</w:t>
      </w:r>
      <w:proofErr w:type="spellEnd"/>
      <w:r w:rsidRPr="00B73419">
        <w:rPr>
          <w:rFonts w:ascii="Arial" w:hAnsi="Arial" w:cs="Arial"/>
          <w:sz w:val="18"/>
          <w:szCs w:val="18"/>
        </w:rPr>
        <w:t xml:space="preserve">, F., </w:t>
      </w:r>
      <w:proofErr w:type="spellStart"/>
      <w:r w:rsidRPr="00B73419">
        <w:rPr>
          <w:rFonts w:ascii="Arial" w:hAnsi="Arial" w:cs="Arial"/>
          <w:sz w:val="18"/>
          <w:szCs w:val="18"/>
        </w:rPr>
        <w:t>Fliers</w:t>
      </w:r>
      <w:proofErr w:type="spellEnd"/>
      <w:r w:rsidRPr="00B73419">
        <w:rPr>
          <w:rFonts w:ascii="Arial" w:hAnsi="Arial" w:cs="Arial"/>
          <w:sz w:val="18"/>
          <w:szCs w:val="18"/>
        </w:rPr>
        <w:t xml:space="preserve">, E., </w:t>
      </w:r>
      <w:proofErr w:type="spellStart"/>
      <w:r w:rsidRPr="00B73419">
        <w:rPr>
          <w:rFonts w:ascii="Arial" w:hAnsi="Arial" w:cs="Arial"/>
          <w:sz w:val="18"/>
          <w:szCs w:val="18"/>
        </w:rPr>
        <w:t>Heuer</w:t>
      </w:r>
      <w:proofErr w:type="spellEnd"/>
      <w:r w:rsidRPr="00B73419">
        <w:rPr>
          <w:rFonts w:ascii="Arial" w:hAnsi="Arial" w:cs="Arial"/>
          <w:sz w:val="18"/>
          <w:szCs w:val="18"/>
        </w:rPr>
        <w:t xml:space="preserve">, H., </w:t>
      </w:r>
      <w:proofErr w:type="spellStart"/>
      <w:r w:rsidRPr="00B73419">
        <w:rPr>
          <w:rFonts w:ascii="Arial" w:hAnsi="Arial" w:cs="Arial"/>
          <w:sz w:val="18"/>
          <w:szCs w:val="18"/>
        </w:rPr>
        <w:t>McAninch</w:t>
      </w:r>
      <w:proofErr w:type="spellEnd"/>
      <w:r w:rsidRPr="00B73419">
        <w:rPr>
          <w:rFonts w:ascii="Arial" w:hAnsi="Arial" w:cs="Arial"/>
          <w:sz w:val="18"/>
          <w:szCs w:val="18"/>
        </w:rPr>
        <w:t xml:space="preserve">, E., </w:t>
      </w:r>
      <w:proofErr w:type="spellStart"/>
      <w:r w:rsidRPr="00B73419">
        <w:rPr>
          <w:rFonts w:ascii="Arial" w:hAnsi="Arial" w:cs="Arial"/>
          <w:sz w:val="18"/>
          <w:szCs w:val="18"/>
        </w:rPr>
        <w:t>Moeller</w:t>
      </w:r>
      <w:proofErr w:type="spellEnd"/>
      <w:r w:rsidRPr="00B73419">
        <w:rPr>
          <w:rFonts w:ascii="Arial" w:hAnsi="Arial" w:cs="Arial"/>
          <w:sz w:val="18"/>
          <w:szCs w:val="18"/>
        </w:rPr>
        <w:t xml:space="preserve">, L., </w:t>
      </w:r>
      <w:proofErr w:type="spellStart"/>
      <w:r w:rsidRPr="00B73419">
        <w:rPr>
          <w:rFonts w:ascii="Arial" w:hAnsi="Arial" w:cs="Arial"/>
          <w:sz w:val="18"/>
          <w:szCs w:val="18"/>
        </w:rPr>
        <w:t>Nygaard</w:t>
      </w:r>
      <w:proofErr w:type="spellEnd"/>
      <w:r w:rsidRPr="00B73419">
        <w:rPr>
          <w:rFonts w:ascii="Arial" w:hAnsi="Arial" w:cs="Arial"/>
          <w:sz w:val="18"/>
          <w:szCs w:val="18"/>
        </w:rPr>
        <w:t xml:space="preserve">, B., </w:t>
      </w:r>
      <w:proofErr w:type="spellStart"/>
      <w:r w:rsidRPr="00B73419">
        <w:rPr>
          <w:rFonts w:ascii="Arial" w:hAnsi="Arial" w:cs="Arial"/>
          <w:sz w:val="18"/>
          <w:szCs w:val="18"/>
        </w:rPr>
        <w:t>Sawka</w:t>
      </w:r>
      <w:proofErr w:type="spellEnd"/>
      <w:r w:rsidRPr="00B73419">
        <w:rPr>
          <w:rFonts w:ascii="Arial" w:hAnsi="Arial" w:cs="Arial"/>
          <w:sz w:val="18"/>
          <w:szCs w:val="18"/>
        </w:rPr>
        <w:t xml:space="preserve">, A., Watt, T., &amp; </w:t>
      </w:r>
      <w:proofErr w:type="spellStart"/>
      <w:r w:rsidRPr="00B73419">
        <w:rPr>
          <w:rFonts w:ascii="Arial" w:hAnsi="Arial" w:cs="Arial"/>
          <w:sz w:val="18"/>
          <w:szCs w:val="18"/>
        </w:rPr>
        <w:t>Dayan</w:t>
      </w:r>
      <w:proofErr w:type="spellEnd"/>
      <w:r w:rsidRPr="00B73419">
        <w:rPr>
          <w:rFonts w:ascii="Arial" w:hAnsi="Arial" w:cs="Arial"/>
          <w:sz w:val="18"/>
          <w:szCs w:val="18"/>
        </w:rPr>
        <w:t>, C. (2021). Evidence-</w:t>
      </w:r>
      <w:proofErr w:type="spellStart"/>
      <w:r w:rsidRPr="00B73419">
        <w:rPr>
          <w:rFonts w:ascii="Arial" w:hAnsi="Arial" w:cs="Arial"/>
          <w:sz w:val="18"/>
          <w:szCs w:val="18"/>
        </w:rPr>
        <w:t>Based</w:t>
      </w:r>
      <w:proofErr w:type="spellEnd"/>
      <w:r w:rsidRPr="00B73419">
        <w:rPr>
          <w:rFonts w:ascii="Arial" w:hAnsi="Arial" w:cs="Arial"/>
          <w:sz w:val="18"/>
          <w:szCs w:val="18"/>
        </w:rPr>
        <w:t xml:space="preserve"> Use </w:t>
      </w:r>
      <w:proofErr w:type="spellStart"/>
      <w:r w:rsidRPr="00B73419">
        <w:rPr>
          <w:rFonts w:ascii="Arial" w:hAnsi="Arial" w:cs="Arial"/>
          <w:sz w:val="18"/>
          <w:szCs w:val="18"/>
        </w:rPr>
        <w:t>of</w:t>
      </w:r>
      <w:proofErr w:type="spellEnd"/>
      <w:r w:rsidRPr="00B7341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73419">
        <w:rPr>
          <w:rFonts w:ascii="Arial" w:hAnsi="Arial" w:cs="Arial"/>
          <w:sz w:val="18"/>
          <w:szCs w:val="18"/>
        </w:rPr>
        <w:t>Levothyroxine</w:t>
      </w:r>
      <w:proofErr w:type="spellEnd"/>
      <w:r w:rsidRPr="00B73419">
        <w:rPr>
          <w:rFonts w:ascii="Arial" w:hAnsi="Arial" w:cs="Arial"/>
          <w:sz w:val="18"/>
          <w:szCs w:val="18"/>
        </w:rPr>
        <w:t>/</w:t>
      </w:r>
      <w:proofErr w:type="spellStart"/>
      <w:r w:rsidRPr="00B73419">
        <w:rPr>
          <w:rFonts w:ascii="Arial" w:hAnsi="Arial" w:cs="Arial"/>
          <w:sz w:val="18"/>
          <w:szCs w:val="18"/>
        </w:rPr>
        <w:t>Liothyronine</w:t>
      </w:r>
      <w:proofErr w:type="spellEnd"/>
      <w:r w:rsidRPr="00B7341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73419">
        <w:rPr>
          <w:rFonts w:ascii="Arial" w:hAnsi="Arial" w:cs="Arial"/>
          <w:sz w:val="18"/>
          <w:szCs w:val="18"/>
        </w:rPr>
        <w:t>Combinations</w:t>
      </w:r>
      <w:proofErr w:type="spellEnd"/>
      <w:r w:rsidRPr="00B73419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B73419">
        <w:rPr>
          <w:rFonts w:ascii="Arial" w:hAnsi="Arial" w:cs="Arial"/>
          <w:sz w:val="18"/>
          <w:szCs w:val="18"/>
        </w:rPr>
        <w:t>Treating</w:t>
      </w:r>
      <w:proofErr w:type="spellEnd"/>
      <w:r w:rsidRPr="00B7341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73419">
        <w:rPr>
          <w:rFonts w:ascii="Arial" w:hAnsi="Arial" w:cs="Arial"/>
          <w:sz w:val="18"/>
          <w:szCs w:val="18"/>
        </w:rPr>
        <w:t>Hypothyroidism</w:t>
      </w:r>
      <w:proofErr w:type="spellEnd"/>
      <w:r w:rsidRPr="00B73419">
        <w:rPr>
          <w:rFonts w:ascii="Arial" w:hAnsi="Arial" w:cs="Arial"/>
          <w:sz w:val="18"/>
          <w:szCs w:val="18"/>
        </w:rPr>
        <w:t xml:space="preserve">: A </w:t>
      </w:r>
      <w:proofErr w:type="spellStart"/>
      <w:r w:rsidRPr="00B73419">
        <w:rPr>
          <w:rFonts w:ascii="Arial" w:hAnsi="Arial" w:cs="Arial"/>
          <w:sz w:val="18"/>
          <w:szCs w:val="18"/>
        </w:rPr>
        <w:t>Consensus</w:t>
      </w:r>
      <w:proofErr w:type="spellEnd"/>
      <w:r w:rsidRPr="00B7341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73419">
        <w:rPr>
          <w:rFonts w:ascii="Arial" w:hAnsi="Arial" w:cs="Arial"/>
          <w:sz w:val="18"/>
          <w:szCs w:val="18"/>
        </w:rPr>
        <w:t>Document</w:t>
      </w:r>
      <w:proofErr w:type="spellEnd"/>
      <w:r w:rsidRPr="00B73419">
        <w:rPr>
          <w:rFonts w:ascii="Arial" w:hAnsi="Arial" w:cs="Arial"/>
          <w:sz w:val="18"/>
          <w:szCs w:val="18"/>
        </w:rPr>
        <w:t>. </w:t>
      </w:r>
      <w:proofErr w:type="spellStart"/>
      <w:r w:rsidRPr="00B73419">
        <w:rPr>
          <w:rFonts w:ascii="Arial" w:hAnsi="Arial" w:cs="Arial"/>
          <w:i/>
          <w:iCs/>
          <w:sz w:val="18"/>
          <w:szCs w:val="18"/>
        </w:rPr>
        <w:t>European</w:t>
      </w:r>
      <w:proofErr w:type="spellEnd"/>
      <w:r w:rsidRPr="00B7341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B73419">
        <w:rPr>
          <w:rFonts w:ascii="Arial" w:hAnsi="Arial" w:cs="Arial"/>
          <w:i/>
          <w:iCs/>
          <w:sz w:val="18"/>
          <w:szCs w:val="18"/>
        </w:rPr>
        <w:t>Thyroid</w:t>
      </w:r>
      <w:proofErr w:type="spellEnd"/>
      <w:r w:rsidRPr="00B7341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B73419">
        <w:rPr>
          <w:rFonts w:ascii="Arial" w:hAnsi="Arial" w:cs="Arial"/>
          <w:i/>
          <w:iCs/>
          <w:sz w:val="18"/>
          <w:szCs w:val="18"/>
        </w:rPr>
        <w:t>Journal</w:t>
      </w:r>
      <w:proofErr w:type="spellEnd"/>
      <w:r w:rsidRPr="00B73419">
        <w:rPr>
          <w:rFonts w:ascii="Arial" w:hAnsi="Arial" w:cs="Arial"/>
          <w:sz w:val="18"/>
          <w:szCs w:val="18"/>
        </w:rPr>
        <w:t>, </w:t>
      </w:r>
      <w:r w:rsidRPr="00B73419">
        <w:rPr>
          <w:rFonts w:ascii="Arial" w:hAnsi="Arial" w:cs="Arial"/>
          <w:i/>
          <w:iCs/>
          <w:sz w:val="18"/>
          <w:szCs w:val="18"/>
        </w:rPr>
        <w:t>10</w:t>
      </w:r>
      <w:r w:rsidRPr="00B73419">
        <w:rPr>
          <w:rFonts w:ascii="Arial" w:hAnsi="Arial" w:cs="Arial"/>
          <w:sz w:val="18"/>
          <w:szCs w:val="18"/>
        </w:rPr>
        <w:t xml:space="preserve">(1), 10-38. </w:t>
      </w:r>
      <w:proofErr w:type="spellStart"/>
      <w:r w:rsidRPr="00B73419">
        <w:rPr>
          <w:rFonts w:ascii="Arial" w:hAnsi="Arial" w:cs="Arial"/>
          <w:sz w:val="18"/>
          <w:szCs w:val="18"/>
        </w:rPr>
        <w:t>Retrieved</w:t>
      </w:r>
      <w:proofErr w:type="spellEnd"/>
      <w:r w:rsidRPr="00B73419">
        <w:rPr>
          <w:rFonts w:ascii="Arial" w:hAnsi="Arial" w:cs="Arial"/>
          <w:sz w:val="18"/>
          <w:szCs w:val="18"/>
        </w:rPr>
        <w:t xml:space="preserve"> Mar 14, 2026, </w:t>
      </w:r>
      <w:proofErr w:type="spellStart"/>
      <w:r w:rsidRPr="00B73419">
        <w:rPr>
          <w:rFonts w:ascii="Arial" w:hAnsi="Arial" w:cs="Arial"/>
          <w:sz w:val="18"/>
          <w:szCs w:val="18"/>
        </w:rPr>
        <w:t>from</w:t>
      </w:r>
      <w:proofErr w:type="spellEnd"/>
      <w:r w:rsidRPr="00B73419">
        <w:rPr>
          <w:rFonts w:ascii="Arial" w:hAnsi="Arial" w:cs="Arial"/>
          <w:sz w:val="18"/>
          <w:szCs w:val="18"/>
        </w:rPr>
        <w:t> </w:t>
      </w:r>
      <w:hyperlink r:id="rId21" w:tgtFrame="_blank" w:history="1">
        <w:r w:rsidRPr="00B73419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https://doi.org/10.1159/000512970</w:t>
        </w:r>
      </w:hyperlink>
    </w:p>
    <w:p w14:paraId="01ED499D" w14:textId="188DBEC2" w:rsidR="00C31A02" w:rsidRPr="0016062A" w:rsidRDefault="006C26B9" w:rsidP="00B73419">
      <w:pPr>
        <w:pStyle w:val="Odstavecseseznamem"/>
        <w:numPr>
          <w:ilvl w:val="0"/>
          <w:numId w:val="22"/>
        </w:numPr>
        <w:ind w:left="709" w:hanging="425"/>
        <w:rPr>
          <w:rFonts w:ascii="Arial" w:hAnsi="Arial" w:cs="Arial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Ahluwalia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 R, </w:t>
      </w:r>
      <w:proofErr w:type="spellStart"/>
      <w:r w:rsidRPr="0016062A">
        <w:rPr>
          <w:rFonts w:ascii="Arial" w:hAnsi="Arial" w:cs="Arial"/>
          <w:sz w:val="18"/>
          <w:szCs w:val="18"/>
        </w:rPr>
        <w:t>Baldeweg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 SE, </w:t>
      </w:r>
      <w:proofErr w:type="spellStart"/>
      <w:r w:rsidRPr="0016062A">
        <w:rPr>
          <w:rFonts w:ascii="Arial" w:hAnsi="Arial" w:cs="Arial"/>
          <w:sz w:val="18"/>
          <w:szCs w:val="18"/>
        </w:rPr>
        <w:t>Boelaert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 K, et al. Use </w:t>
      </w:r>
      <w:proofErr w:type="spellStart"/>
      <w:r w:rsidRPr="0016062A">
        <w:rPr>
          <w:rFonts w:ascii="Arial" w:hAnsi="Arial" w:cs="Arial"/>
          <w:sz w:val="18"/>
          <w:szCs w:val="18"/>
        </w:rPr>
        <w:t>of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liothyronine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(T3) in </w:t>
      </w:r>
      <w:proofErr w:type="spellStart"/>
      <w:r w:rsidRPr="0016062A">
        <w:rPr>
          <w:rFonts w:ascii="Arial" w:hAnsi="Arial" w:cs="Arial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: Joint </w:t>
      </w:r>
      <w:proofErr w:type="spellStart"/>
      <w:r w:rsidRPr="0016062A">
        <w:rPr>
          <w:rFonts w:ascii="Arial" w:hAnsi="Arial" w:cs="Arial"/>
          <w:sz w:val="18"/>
          <w:szCs w:val="18"/>
        </w:rPr>
        <w:t>British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Thyroid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Association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/Society </w:t>
      </w:r>
      <w:proofErr w:type="spellStart"/>
      <w:r w:rsidRPr="0016062A">
        <w:rPr>
          <w:rFonts w:ascii="Arial" w:hAnsi="Arial" w:cs="Arial"/>
          <w:sz w:val="18"/>
          <w:szCs w:val="18"/>
        </w:rPr>
        <w:t>for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endocrinology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consensus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statement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6062A">
        <w:rPr>
          <w:rFonts w:ascii="Arial" w:hAnsi="Arial" w:cs="Arial"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6062A">
        <w:rPr>
          <w:rFonts w:ascii="Arial" w:hAnsi="Arial" w:cs="Arial"/>
          <w:sz w:val="18"/>
          <w:szCs w:val="18"/>
        </w:rPr>
        <w:t>Oxf</w:t>
      </w:r>
      <w:proofErr w:type="spellEnd"/>
      <w:r w:rsidRPr="0016062A">
        <w:rPr>
          <w:rFonts w:ascii="Arial" w:hAnsi="Arial" w:cs="Arial"/>
          <w:sz w:val="18"/>
          <w:szCs w:val="18"/>
        </w:rPr>
        <w:t>).2023;99:206-216. </w:t>
      </w:r>
      <w:hyperlink r:id="rId22" w:history="1">
        <w:r w:rsidRPr="0016062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doi:10.1111/cen.14935</w:t>
        </w:r>
      </w:hyperlink>
    </w:p>
    <w:sectPr w:rsidR="00C31A02" w:rsidRPr="0016062A" w:rsidSect="00A944EE">
      <w:pgSz w:w="11906" w:h="16838"/>
      <w:pgMar w:top="1418" w:right="155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364"/>
    <w:multiLevelType w:val="multilevel"/>
    <w:tmpl w:val="1100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E1C10"/>
    <w:multiLevelType w:val="multilevel"/>
    <w:tmpl w:val="8AC8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E454C"/>
    <w:multiLevelType w:val="multilevel"/>
    <w:tmpl w:val="9594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C6762"/>
    <w:multiLevelType w:val="multilevel"/>
    <w:tmpl w:val="CC9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C6171"/>
    <w:multiLevelType w:val="multilevel"/>
    <w:tmpl w:val="137E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F57BA"/>
    <w:multiLevelType w:val="multilevel"/>
    <w:tmpl w:val="721C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9352B"/>
    <w:multiLevelType w:val="hybridMultilevel"/>
    <w:tmpl w:val="6A8CDB3C"/>
    <w:lvl w:ilvl="0" w:tplc="0405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3273E"/>
    <w:multiLevelType w:val="multilevel"/>
    <w:tmpl w:val="4CB64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DA34B7"/>
    <w:multiLevelType w:val="multilevel"/>
    <w:tmpl w:val="2988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C2853"/>
    <w:multiLevelType w:val="multilevel"/>
    <w:tmpl w:val="7A8A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32D85"/>
    <w:multiLevelType w:val="hybridMultilevel"/>
    <w:tmpl w:val="C5B071C4"/>
    <w:lvl w:ilvl="0" w:tplc="0405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E6CA6"/>
    <w:multiLevelType w:val="multilevel"/>
    <w:tmpl w:val="B95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A54B2"/>
    <w:multiLevelType w:val="hybridMultilevel"/>
    <w:tmpl w:val="3354701A"/>
    <w:lvl w:ilvl="0" w:tplc="92647A38">
      <w:start w:val="5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3E0241B"/>
    <w:multiLevelType w:val="hybridMultilevel"/>
    <w:tmpl w:val="364C529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B02E14"/>
    <w:multiLevelType w:val="multilevel"/>
    <w:tmpl w:val="FFDEB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73294B"/>
    <w:multiLevelType w:val="multilevel"/>
    <w:tmpl w:val="C0BA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46CD7"/>
    <w:multiLevelType w:val="multilevel"/>
    <w:tmpl w:val="6E7C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9E3EB3"/>
    <w:multiLevelType w:val="multilevel"/>
    <w:tmpl w:val="40A6763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61822"/>
    <w:multiLevelType w:val="multilevel"/>
    <w:tmpl w:val="3014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277242"/>
    <w:multiLevelType w:val="multilevel"/>
    <w:tmpl w:val="591A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897544"/>
    <w:multiLevelType w:val="multilevel"/>
    <w:tmpl w:val="F5E4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73E9A"/>
    <w:multiLevelType w:val="multilevel"/>
    <w:tmpl w:val="B630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077999">
    <w:abstractNumId w:val="1"/>
  </w:num>
  <w:num w:numId="2" w16cid:durableId="1743982484">
    <w:abstractNumId w:val="0"/>
  </w:num>
  <w:num w:numId="3" w16cid:durableId="991253710">
    <w:abstractNumId w:val="15"/>
  </w:num>
  <w:num w:numId="4" w16cid:durableId="690228183">
    <w:abstractNumId w:val="19"/>
  </w:num>
  <w:num w:numId="5" w16cid:durableId="143199689">
    <w:abstractNumId w:val="14"/>
  </w:num>
  <w:num w:numId="6" w16cid:durableId="572158331">
    <w:abstractNumId w:val="20"/>
  </w:num>
  <w:num w:numId="7" w16cid:durableId="571693369">
    <w:abstractNumId w:val="4"/>
  </w:num>
  <w:num w:numId="8" w16cid:durableId="2076467367">
    <w:abstractNumId w:val="5"/>
  </w:num>
  <w:num w:numId="9" w16cid:durableId="223298662">
    <w:abstractNumId w:val="7"/>
  </w:num>
  <w:num w:numId="10" w16cid:durableId="1163206072">
    <w:abstractNumId w:val="3"/>
  </w:num>
  <w:num w:numId="11" w16cid:durableId="1076825481">
    <w:abstractNumId w:val="16"/>
  </w:num>
  <w:num w:numId="12" w16cid:durableId="880552566">
    <w:abstractNumId w:val="17"/>
  </w:num>
  <w:num w:numId="13" w16cid:durableId="1919705537">
    <w:abstractNumId w:val="9"/>
  </w:num>
  <w:num w:numId="14" w16cid:durableId="67775244">
    <w:abstractNumId w:val="2"/>
  </w:num>
  <w:num w:numId="15" w16cid:durableId="1857109625">
    <w:abstractNumId w:val="21"/>
  </w:num>
  <w:num w:numId="16" w16cid:durableId="1899318021">
    <w:abstractNumId w:val="11"/>
  </w:num>
  <w:num w:numId="17" w16cid:durableId="768043852">
    <w:abstractNumId w:val="18"/>
  </w:num>
  <w:num w:numId="18" w16cid:durableId="907416897">
    <w:abstractNumId w:val="13"/>
  </w:num>
  <w:num w:numId="19" w16cid:durableId="723798770">
    <w:abstractNumId w:val="10"/>
  </w:num>
  <w:num w:numId="20" w16cid:durableId="1375083519">
    <w:abstractNumId w:val="8"/>
  </w:num>
  <w:num w:numId="21" w16cid:durableId="1182818554">
    <w:abstractNumId w:val="6"/>
  </w:num>
  <w:num w:numId="22" w16cid:durableId="874150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52"/>
    <w:rsid w:val="00000D0F"/>
    <w:rsid w:val="000013D2"/>
    <w:rsid w:val="00003172"/>
    <w:rsid w:val="00014DA1"/>
    <w:rsid w:val="00023E7B"/>
    <w:rsid w:val="0002533F"/>
    <w:rsid w:val="000256D0"/>
    <w:rsid w:val="00031AA2"/>
    <w:rsid w:val="000323A8"/>
    <w:rsid w:val="00033A6B"/>
    <w:rsid w:val="00050C98"/>
    <w:rsid w:val="00060B85"/>
    <w:rsid w:val="00085A9D"/>
    <w:rsid w:val="0009135E"/>
    <w:rsid w:val="0009668F"/>
    <w:rsid w:val="000C1A25"/>
    <w:rsid w:val="000C1BD1"/>
    <w:rsid w:val="000C2523"/>
    <w:rsid w:val="000D0C4E"/>
    <w:rsid w:val="000E24B9"/>
    <w:rsid w:val="000E7099"/>
    <w:rsid w:val="000F1BE7"/>
    <w:rsid w:val="000F2B2E"/>
    <w:rsid w:val="000F31E2"/>
    <w:rsid w:val="000F5626"/>
    <w:rsid w:val="00107609"/>
    <w:rsid w:val="00110023"/>
    <w:rsid w:val="00115885"/>
    <w:rsid w:val="0011605A"/>
    <w:rsid w:val="00117C01"/>
    <w:rsid w:val="00117FCA"/>
    <w:rsid w:val="00120F50"/>
    <w:rsid w:val="00126F2D"/>
    <w:rsid w:val="00140CAC"/>
    <w:rsid w:val="001451D6"/>
    <w:rsid w:val="0016062A"/>
    <w:rsid w:val="001773CD"/>
    <w:rsid w:val="00177FB6"/>
    <w:rsid w:val="00183084"/>
    <w:rsid w:val="00191BFD"/>
    <w:rsid w:val="00193B0A"/>
    <w:rsid w:val="001A6232"/>
    <w:rsid w:val="001B0100"/>
    <w:rsid w:val="001B542D"/>
    <w:rsid w:val="001D70E1"/>
    <w:rsid w:val="001D71FB"/>
    <w:rsid w:val="001D77CC"/>
    <w:rsid w:val="001F11EF"/>
    <w:rsid w:val="001F142F"/>
    <w:rsid w:val="001F215E"/>
    <w:rsid w:val="001F33A1"/>
    <w:rsid w:val="002019C9"/>
    <w:rsid w:val="00204727"/>
    <w:rsid w:val="00205055"/>
    <w:rsid w:val="00230FA0"/>
    <w:rsid w:val="00242191"/>
    <w:rsid w:val="00254876"/>
    <w:rsid w:val="002723D0"/>
    <w:rsid w:val="00274BD4"/>
    <w:rsid w:val="002A2A82"/>
    <w:rsid w:val="002A6857"/>
    <w:rsid w:val="002B1696"/>
    <w:rsid w:val="002C09FF"/>
    <w:rsid w:val="002C6A98"/>
    <w:rsid w:val="002D2C17"/>
    <w:rsid w:val="002D451F"/>
    <w:rsid w:val="002E5352"/>
    <w:rsid w:val="002F55CC"/>
    <w:rsid w:val="00312DE1"/>
    <w:rsid w:val="0031787A"/>
    <w:rsid w:val="003363CC"/>
    <w:rsid w:val="0034498A"/>
    <w:rsid w:val="0035791E"/>
    <w:rsid w:val="003636EF"/>
    <w:rsid w:val="00367EAD"/>
    <w:rsid w:val="00372B28"/>
    <w:rsid w:val="00387C43"/>
    <w:rsid w:val="003970C6"/>
    <w:rsid w:val="0039712E"/>
    <w:rsid w:val="003A055A"/>
    <w:rsid w:val="003A3877"/>
    <w:rsid w:val="003A4BCE"/>
    <w:rsid w:val="003A4C20"/>
    <w:rsid w:val="003A7414"/>
    <w:rsid w:val="003C4936"/>
    <w:rsid w:val="003D1492"/>
    <w:rsid w:val="003D7878"/>
    <w:rsid w:val="003F62C2"/>
    <w:rsid w:val="0040621F"/>
    <w:rsid w:val="00414658"/>
    <w:rsid w:val="0042603A"/>
    <w:rsid w:val="00433A14"/>
    <w:rsid w:val="00433A22"/>
    <w:rsid w:val="004402BD"/>
    <w:rsid w:val="004434D3"/>
    <w:rsid w:val="00447067"/>
    <w:rsid w:val="00462748"/>
    <w:rsid w:val="00474787"/>
    <w:rsid w:val="0047687F"/>
    <w:rsid w:val="00481098"/>
    <w:rsid w:val="00490955"/>
    <w:rsid w:val="004B50EA"/>
    <w:rsid w:val="004C1420"/>
    <w:rsid w:val="004C71EF"/>
    <w:rsid w:val="004D6C4F"/>
    <w:rsid w:val="004E5F2E"/>
    <w:rsid w:val="004F5364"/>
    <w:rsid w:val="005003F8"/>
    <w:rsid w:val="00503C7C"/>
    <w:rsid w:val="00514B4A"/>
    <w:rsid w:val="00517B0E"/>
    <w:rsid w:val="00535893"/>
    <w:rsid w:val="00541C5D"/>
    <w:rsid w:val="00555720"/>
    <w:rsid w:val="00560DAC"/>
    <w:rsid w:val="0056183A"/>
    <w:rsid w:val="005756EC"/>
    <w:rsid w:val="00576248"/>
    <w:rsid w:val="00581081"/>
    <w:rsid w:val="00584399"/>
    <w:rsid w:val="005A35FB"/>
    <w:rsid w:val="005B1932"/>
    <w:rsid w:val="005D032D"/>
    <w:rsid w:val="005D74EF"/>
    <w:rsid w:val="00602F42"/>
    <w:rsid w:val="00605E73"/>
    <w:rsid w:val="00622A25"/>
    <w:rsid w:val="0063029C"/>
    <w:rsid w:val="00631190"/>
    <w:rsid w:val="00634FB2"/>
    <w:rsid w:val="006439A0"/>
    <w:rsid w:val="00650FB4"/>
    <w:rsid w:val="00652870"/>
    <w:rsid w:val="00663ED2"/>
    <w:rsid w:val="00666397"/>
    <w:rsid w:val="00671F4D"/>
    <w:rsid w:val="006A121C"/>
    <w:rsid w:val="006A519E"/>
    <w:rsid w:val="006C26B9"/>
    <w:rsid w:val="006D2CF8"/>
    <w:rsid w:val="006E094A"/>
    <w:rsid w:val="006E20D3"/>
    <w:rsid w:val="006F1295"/>
    <w:rsid w:val="006F6385"/>
    <w:rsid w:val="006F678B"/>
    <w:rsid w:val="00720A5C"/>
    <w:rsid w:val="0072114F"/>
    <w:rsid w:val="00735AD1"/>
    <w:rsid w:val="0073720D"/>
    <w:rsid w:val="00740426"/>
    <w:rsid w:val="00750415"/>
    <w:rsid w:val="0076402E"/>
    <w:rsid w:val="0076411D"/>
    <w:rsid w:val="0077147D"/>
    <w:rsid w:val="00776635"/>
    <w:rsid w:val="007828F0"/>
    <w:rsid w:val="00785793"/>
    <w:rsid w:val="007873A5"/>
    <w:rsid w:val="007877BA"/>
    <w:rsid w:val="007909C7"/>
    <w:rsid w:val="007A2FB7"/>
    <w:rsid w:val="007C6701"/>
    <w:rsid w:val="007D279A"/>
    <w:rsid w:val="007E0CAA"/>
    <w:rsid w:val="007E79A5"/>
    <w:rsid w:val="007F6397"/>
    <w:rsid w:val="00803573"/>
    <w:rsid w:val="008161F1"/>
    <w:rsid w:val="00820059"/>
    <w:rsid w:val="00833360"/>
    <w:rsid w:val="0086067A"/>
    <w:rsid w:val="0086296B"/>
    <w:rsid w:val="00874235"/>
    <w:rsid w:val="00880C02"/>
    <w:rsid w:val="008822F8"/>
    <w:rsid w:val="00883E1F"/>
    <w:rsid w:val="008928BB"/>
    <w:rsid w:val="00893008"/>
    <w:rsid w:val="008968DB"/>
    <w:rsid w:val="008B0733"/>
    <w:rsid w:val="008C66BB"/>
    <w:rsid w:val="008C6AA0"/>
    <w:rsid w:val="008D4734"/>
    <w:rsid w:val="008D642B"/>
    <w:rsid w:val="008E4C8C"/>
    <w:rsid w:val="008F0BCC"/>
    <w:rsid w:val="008F2B90"/>
    <w:rsid w:val="008F5100"/>
    <w:rsid w:val="008F6A96"/>
    <w:rsid w:val="009025DD"/>
    <w:rsid w:val="00910DB9"/>
    <w:rsid w:val="00911D06"/>
    <w:rsid w:val="0091285D"/>
    <w:rsid w:val="00934B01"/>
    <w:rsid w:val="00941AFC"/>
    <w:rsid w:val="00943ABE"/>
    <w:rsid w:val="00944C93"/>
    <w:rsid w:val="009472F7"/>
    <w:rsid w:val="00955EF2"/>
    <w:rsid w:val="00987277"/>
    <w:rsid w:val="00995C94"/>
    <w:rsid w:val="009A1DB7"/>
    <w:rsid w:val="009A3DEF"/>
    <w:rsid w:val="009A5808"/>
    <w:rsid w:val="009B26B1"/>
    <w:rsid w:val="009B26F3"/>
    <w:rsid w:val="009B43BE"/>
    <w:rsid w:val="009B7A41"/>
    <w:rsid w:val="009C169A"/>
    <w:rsid w:val="009C3490"/>
    <w:rsid w:val="009E2939"/>
    <w:rsid w:val="009F6F61"/>
    <w:rsid w:val="00A00E0D"/>
    <w:rsid w:val="00A04F3D"/>
    <w:rsid w:val="00A05F8E"/>
    <w:rsid w:val="00A10B77"/>
    <w:rsid w:val="00A144A2"/>
    <w:rsid w:val="00A161B7"/>
    <w:rsid w:val="00A36AD6"/>
    <w:rsid w:val="00A41F6E"/>
    <w:rsid w:val="00A43DCD"/>
    <w:rsid w:val="00A63B8E"/>
    <w:rsid w:val="00A72CF9"/>
    <w:rsid w:val="00A81F8D"/>
    <w:rsid w:val="00A944EE"/>
    <w:rsid w:val="00AC3BE2"/>
    <w:rsid w:val="00AE455A"/>
    <w:rsid w:val="00AE5440"/>
    <w:rsid w:val="00AE7960"/>
    <w:rsid w:val="00AF1C3F"/>
    <w:rsid w:val="00AF438C"/>
    <w:rsid w:val="00B07B71"/>
    <w:rsid w:val="00B20C51"/>
    <w:rsid w:val="00B2261A"/>
    <w:rsid w:val="00B24114"/>
    <w:rsid w:val="00B24957"/>
    <w:rsid w:val="00B26989"/>
    <w:rsid w:val="00B3394F"/>
    <w:rsid w:val="00B34065"/>
    <w:rsid w:val="00B3446B"/>
    <w:rsid w:val="00B41E2D"/>
    <w:rsid w:val="00B50C5A"/>
    <w:rsid w:val="00B53B0D"/>
    <w:rsid w:val="00B544E2"/>
    <w:rsid w:val="00B56953"/>
    <w:rsid w:val="00B60D92"/>
    <w:rsid w:val="00B73419"/>
    <w:rsid w:val="00B743CA"/>
    <w:rsid w:val="00B8099D"/>
    <w:rsid w:val="00B81599"/>
    <w:rsid w:val="00B91D17"/>
    <w:rsid w:val="00BA456C"/>
    <w:rsid w:val="00BB4317"/>
    <w:rsid w:val="00BD13B3"/>
    <w:rsid w:val="00BD4D94"/>
    <w:rsid w:val="00BE7CC7"/>
    <w:rsid w:val="00BF2A8F"/>
    <w:rsid w:val="00BF463C"/>
    <w:rsid w:val="00BF6E49"/>
    <w:rsid w:val="00C04FDC"/>
    <w:rsid w:val="00C10362"/>
    <w:rsid w:val="00C15E74"/>
    <w:rsid w:val="00C16A2A"/>
    <w:rsid w:val="00C17BDE"/>
    <w:rsid w:val="00C22BD9"/>
    <w:rsid w:val="00C2599A"/>
    <w:rsid w:val="00C31A02"/>
    <w:rsid w:val="00C341DA"/>
    <w:rsid w:val="00C445C2"/>
    <w:rsid w:val="00C51980"/>
    <w:rsid w:val="00C52D56"/>
    <w:rsid w:val="00C61699"/>
    <w:rsid w:val="00C63833"/>
    <w:rsid w:val="00C746CE"/>
    <w:rsid w:val="00C74845"/>
    <w:rsid w:val="00C7661D"/>
    <w:rsid w:val="00C7674D"/>
    <w:rsid w:val="00C93E25"/>
    <w:rsid w:val="00C94E7D"/>
    <w:rsid w:val="00CA1571"/>
    <w:rsid w:val="00CA2FF8"/>
    <w:rsid w:val="00CB2E02"/>
    <w:rsid w:val="00CB636A"/>
    <w:rsid w:val="00CC620C"/>
    <w:rsid w:val="00CD0E63"/>
    <w:rsid w:val="00CF704E"/>
    <w:rsid w:val="00D00B33"/>
    <w:rsid w:val="00D01448"/>
    <w:rsid w:val="00D11B7D"/>
    <w:rsid w:val="00D256EE"/>
    <w:rsid w:val="00D30F85"/>
    <w:rsid w:val="00D33F5A"/>
    <w:rsid w:val="00D365D0"/>
    <w:rsid w:val="00D4509F"/>
    <w:rsid w:val="00D514F0"/>
    <w:rsid w:val="00D56B80"/>
    <w:rsid w:val="00D62218"/>
    <w:rsid w:val="00D73CD9"/>
    <w:rsid w:val="00D752F3"/>
    <w:rsid w:val="00D8126F"/>
    <w:rsid w:val="00D91129"/>
    <w:rsid w:val="00D932EA"/>
    <w:rsid w:val="00D93DB1"/>
    <w:rsid w:val="00D97CD8"/>
    <w:rsid w:val="00DB588A"/>
    <w:rsid w:val="00DB7CD4"/>
    <w:rsid w:val="00DC1E7E"/>
    <w:rsid w:val="00DE6F35"/>
    <w:rsid w:val="00DF06A8"/>
    <w:rsid w:val="00E12DB3"/>
    <w:rsid w:val="00E1404E"/>
    <w:rsid w:val="00E17B95"/>
    <w:rsid w:val="00E3543F"/>
    <w:rsid w:val="00E360A0"/>
    <w:rsid w:val="00E50013"/>
    <w:rsid w:val="00E63D8D"/>
    <w:rsid w:val="00E70E30"/>
    <w:rsid w:val="00E8177B"/>
    <w:rsid w:val="00E927D8"/>
    <w:rsid w:val="00E94D84"/>
    <w:rsid w:val="00E974F5"/>
    <w:rsid w:val="00EB0B3A"/>
    <w:rsid w:val="00EC3649"/>
    <w:rsid w:val="00EC444A"/>
    <w:rsid w:val="00ED18C7"/>
    <w:rsid w:val="00ED2195"/>
    <w:rsid w:val="00ED4738"/>
    <w:rsid w:val="00ED6458"/>
    <w:rsid w:val="00ED7661"/>
    <w:rsid w:val="00EE04C0"/>
    <w:rsid w:val="00EE268B"/>
    <w:rsid w:val="00EF2B99"/>
    <w:rsid w:val="00EF45B9"/>
    <w:rsid w:val="00F036BF"/>
    <w:rsid w:val="00F04195"/>
    <w:rsid w:val="00F126C6"/>
    <w:rsid w:val="00F17F4E"/>
    <w:rsid w:val="00F25AB1"/>
    <w:rsid w:val="00F3159C"/>
    <w:rsid w:val="00F37288"/>
    <w:rsid w:val="00F510F4"/>
    <w:rsid w:val="00F5388C"/>
    <w:rsid w:val="00F751ED"/>
    <w:rsid w:val="00F82DE1"/>
    <w:rsid w:val="00F91D3E"/>
    <w:rsid w:val="00F920C3"/>
    <w:rsid w:val="00FA262D"/>
    <w:rsid w:val="00FA6612"/>
    <w:rsid w:val="00FB2CED"/>
    <w:rsid w:val="00FC0CC9"/>
    <w:rsid w:val="00FD10B2"/>
    <w:rsid w:val="00FE07A6"/>
    <w:rsid w:val="00FE0902"/>
    <w:rsid w:val="00FF0005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61E1"/>
  <w15:chartTrackingRefBased/>
  <w15:docId w15:val="{22567839-5A19-442E-823A-C1D5A9B4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5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5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5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5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5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5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5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5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5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5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5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53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53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53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53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53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53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5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5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5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53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53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53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5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53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535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025D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2DE1"/>
    <w:rPr>
      <w:color w:val="605E5C"/>
      <w:shd w:val="clear" w:color="auto" w:fill="E1DFDD"/>
    </w:rPr>
  </w:style>
  <w:style w:type="character" w:customStyle="1" w:styleId="label">
    <w:name w:val="label"/>
    <w:basedOn w:val="Standardnpsmoodstavce"/>
    <w:rsid w:val="00DC1E7E"/>
  </w:style>
  <w:style w:type="character" w:styleId="CittHTML">
    <w:name w:val="HTML Cite"/>
    <w:basedOn w:val="Standardnpsmoodstavce"/>
    <w:uiPriority w:val="99"/>
    <w:semiHidden/>
    <w:unhideWhenUsed/>
    <w:rsid w:val="00DC1E7E"/>
    <w:rPr>
      <w:i/>
      <w:iCs/>
    </w:rPr>
  </w:style>
  <w:style w:type="character" w:customStyle="1" w:styleId="journalname">
    <w:name w:val="journalname"/>
    <w:basedOn w:val="Standardnpsmoodstavce"/>
    <w:rsid w:val="00605E73"/>
  </w:style>
  <w:style w:type="character" w:customStyle="1" w:styleId="apple-converted-space">
    <w:name w:val="apple-converted-space"/>
    <w:basedOn w:val="Standardnpsmoodstavce"/>
    <w:rsid w:val="00605E73"/>
  </w:style>
  <w:style w:type="character" w:customStyle="1" w:styleId="year">
    <w:name w:val="year"/>
    <w:basedOn w:val="Standardnpsmoodstavce"/>
    <w:rsid w:val="00605E73"/>
  </w:style>
  <w:style w:type="character" w:customStyle="1" w:styleId="volume">
    <w:name w:val="volume"/>
    <w:basedOn w:val="Standardnpsmoodstavce"/>
    <w:rsid w:val="00605E73"/>
  </w:style>
  <w:style w:type="character" w:customStyle="1" w:styleId="issue">
    <w:name w:val="issue"/>
    <w:basedOn w:val="Standardnpsmoodstavce"/>
    <w:rsid w:val="00605E73"/>
  </w:style>
  <w:style w:type="character" w:customStyle="1" w:styleId="page">
    <w:name w:val="page"/>
    <w:basedOn w:val="Standardnpsmoodstavce"/>
    <w:rsid w:val="00605E73"/>
  </w:style>
  <w:style w:type="character" w:styleId="Sledovanodkaz">
    <w:name w:val="FollowedHyperlink"/>
    <w:basedOn w:val="Standardnpsmoodstavce"/>
    <w:uiPriority w:val="99"/>
    <w:semiHidden/>
    <w:unhideWhenUsed/>
    <w:rsid w:val="00605E73"/>
    <w:rPr>
      <w:color w:val="96607D" w:themeColor="followedHyperlink"/>
      <w:u w:val="single"/>
    </w:rPr>
  </w:style>
  <w:style w:type="paragraph" w:styleId="Revize">
    <w:name w:val="Revision"/>
    <w:hidden/>
    <w:uiPriority w:val="99"/>
    <w:semiHidden/>
    <w:rsid w:val="00D365D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365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65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65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5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5D0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517B0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draznn1">
    <w:name w:val="Zdůraznění1"/>
    <w:basedOn w:val="Standardnpsmoodstavce"/>
    <w:rsid w:val="00E360A0"/>
  </w:style>
  <w:style w:type="paragraph" w:styleId="Normlnweb">
    <w:name w:val="Normal (Web)"/>
    <w:basedOn w:val="Normln"/>
    <w:uiPriority w:val="99"/>
    <w:semiHidden/>
    <w:unhideWhenUsed/>
    <w:rsid w:val="0011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7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981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9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4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5864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5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todate.com/contents/treatment-of-primary-hypothyroidism-in-adults/contributors" TargetMode="External"/><Relationship Id="rId13" Type="http://schemas.openxmlformats.org/officeDocument/2006/relationships/hyperlink" Target="https://www.uptodate.com/contents/treatment-of-primary-hypothyroidism-in-adults/abstract/95" TargetMode="External"/><Relationship Id="rId18" Type="http://schemas.openxmlformats.org/officeDocument/2006/relationships/hyperlink" Target="https://doi.org/10.1530/EJE-09-05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159/000512970" TargetMode="External"/><Relationship Id="rId7" Type="http://schemas.openxmlformats.org/officeDocument/2006/relationships/hyperlink" Target="https://www.uptodate.com/contents/treatment-of-primary-hypothyroidism-in-adults/contributors" TargetMode="External"/><Relationship Id="rId12" Type="http://schemas.openxmlformats.org/officeDocument/2006/relationships/hyperlink" Target="https://www.uptodate.com/contents/treatment-of-primary-hypothyroidism-in-adults/abstract/93" TargetMode="External"/><Relationship Id="rId17" Type="http://schemas.openxmlformats.org/officeDocument/2006/relationships/hyperlink" Target="https://scholar.google.com/scholar_lookup?journal=J%20Clin%20Endocrinol%20Metab.&amp;title=REVIEW:%20treatment%20of%20hypothyroidism%20with%20combinations%20of%20levothyroxine%20plus%20liothyronine&amp;author=HF%20Escobar-Morreale&amp;author=JI%20Botella-Carretero&amp;author=F%20Escobar%20del%20Rey&amp;author=G%20Morreale%20de%20Escobar&amp;volume=90&amp;publication_year=2005&amp;pages=4946-54&amp;pmid=15928247&amp;doi=10.1210/jc.2005-0184&amp;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210/jc.2005-0184" TargetMode="External"/><Relationship Id="rId20" Type="http://schemas.openxmlformats.org/officeDocument/2006/relationships/hyperlink" Target="https://www.liebertpub.com/doi/abs/10.1089/thy.2014.00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ebertpub.com/doi/abs/10.1089/thy.2014.0028" TargetMode="External"/><Relationship Id="rId11" Type="http://schemas.openxmlformats.org/officeDocument/2006/relationships/hyperlink" Target="https://www.uptodate.com/contents/treatment-of-primary-hypothyroidism-in-adults/abstract/92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uptodate.com/contents/treatment-of-primary-hypothyroidism-in-adults/abstract/6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ptodate.com/contents/treatment-of-primary-hypothyroidism-in-adults/abstract/90" TargetMode="External"/><Relationship Id="rId19" Type="http://schemas.openxmlformats.org/officeDocument/2006/relationships/hyperlink" Target="https://scholar.google.com/scholar_lookup?journal=Eur%20J%20Endocrinol.&amp;title=Effect%20of%20combination%20therapy%20with%20thyroxine%20(T4)%20and%203,5,3%E2%80%B2-triiodothyronine%20versus%20T4%20monotherapy%20in%20patients%20with%20hypothyroidism,%20a%20double-blind,%20randomised%20cross-over%20study&amp;author=B%20Nygaard&amp;author=EW%20Jensen&amp;author=J%20Kvetny&amp;author=A%20Jarlov&amp;author=J%20Faber&amp;volume=161&amp;publication_year=2009&amp;pages=895-902&amp;pmid=19666698&amp;doi=10.1530/EJE-09-0542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todate.com/contents/treatment-of-primary-hypothyroidism-in-adults/contributors" TargetMode="External"/><Relationship Id="rId14" Type="http://schemas.openxmlformats.org/officeDocument/2006/relationships/hyperlink" Target="https://doi.org/10.1089/thy.2021.0634" TargetMode="External"/><Relationship Id="rId22" Type="http://schemas.openxmlformats.org/officeDocument/2006/relationships/hyperlink" Target="https://doi.org/10.1111/cen.1493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3617</Words>
  <Characters>21341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Hana, MUDr. Ph.D.</dc:creator>
  <cp:keywords/>
  <dc:description/>
  <cp:lastModifiedBy>Vítková Hana, MUDr. Ph.D.</cp:lastModifiedBy>
  <cp:revision>7</cp:revision>
  <cp:lastPrinted>2026-05-25T11:04:00Z</cp:lastPrinted>
  <dcterms:created xsi:type="dcterms:W3CDTF">2026-05-15T07:45:00Z</dcterms:created>
  <dcterms:modified xsi:type="dcterms:W3CDTF">2026-05-25T11:17:00Z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2025-09-26T12:55:55Z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75f86848-ce93-4049-a9a5-6d43911a24e9</vt:lpwstr>
  </property>
  <property fmtid="{D5CDD505-2E9C-101B-9397-08002B2CF9AE}" pid="8" name="MSIP_Label_2063cd7f-2d21-486a-9f29-9c1683fdd175_ContentBits">
    <vt:lpwstr>0</vt:lpwstr>
  </property>
  <property fmtid="{D5CDD505-2E9C-101B-9397-08002B2CF9AE}" pid="9" name="MSIP_Label_2063cd7f-2d21-486a-9f29-9c1683fdd175_Tag">
    <vt:lpwstr>10, 3, 0, 1</vt:lpwstr>
  </property>
</Properties>
</file>